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EE7" w:rsidRDefault="00B85EE7" w:rsidP="00A24CD9">
      <w:pPr>
        <w:jc w:val="both"/>
        <w:rPr>
          <w:rFonts w:ascii="BatangChe" w:eastAsia="BatangChe" w:hAnsi="BatangChe"/>
          <w:color w:val="FF0000"/>
          <w:sz w:val="36"/>
          <w:szCs w:val="36"/>
        </w:rPr>
      </w:pPr>
    </w:p>
    <w:p w:rsidR="00B85EE7" w:rsidRDefault="00B85EE7" w:rsidP="00B85EE7">
      <w:pPr>
        <w:pStyle w:val="Titre"/>
        <w:outlineLvl w:val="0"/>
        <w:rPr>
          <w:sz w:val="24"/>
          <w:szCs w:val="24"/>
        </w:rPr>
      </w:pPr>
      <w:r>
        <w:rPr>
          <w:sz w:val="24"/>
          <w:szCs w:val="24"/>
        </w:rPr>
        <w:t xml:space="preserve">Ecole Nationale d’Administration </w:t>
      </w:r>
    </w:p>
    <w:p w:rsidR="00B85EE7" w:rsidRPr="0054456C" w:rsidRDefault="00B85EE7" w:rsidP="00B85EE7">
      <w:pPr>
        <w:pStyle w:val="Titre"/>
        <w:outlineLvl w:val="0"/>
        <w:rPr>
          <w:sz w:val="24"/>
          <w:szCs w:val="24"/>
        </w:rPr>
      </w:pPr>
      <w:r>
        <w:rPr>
          <w:sz w:val="24"/>
          <w:szCs w:val="24"/>
        </w:rPr>
        <w:t>Rabat</w:t>
      </w:r>
    </w:p>
    <w:p w:rsidR="00B85EE7" w:rsidRDefault="00B85EE7" w:rsidP="00B85EE7">
      <w:pPr>
        <w:pStyle w:val="Titre"/>
        <w:outlineLvl w:val="0"/>
        <w:rPr>
          <w:sz w:val="72"/>
          <w:szCs w:val="72"/>
        </w:rPr>
      </w:pPr>
      <w:r>
        <w:rPr>
          <w:sz w:val="72"/>
          <w:szCs w:val="72"/>
        </w:rPr>
        <w:t>8</w:t>
      </w:r>
      <w:r w:rsidRPr="00B85EE7">
        <w:rPr>
          <w:sz w:val="72"/>
          <w:szCs w:val="72"/>
          <w:vertAlign w:val="superscript"/>
        </w:rPr>
        <w:t>eme</w:t>
      </w:r>
      <w:r>
        <w:rPr>
          <w:sz w:val="72"/>
          <w:szCs w:val="72"/>
        </w:rPr>
        <w:t xml:space="preserve"> promo</w:t>
      </w:r>
    </w:p>
    <w:p w:rsidR="00B85EE7" w:rsidRDefault="00B85EE7" w:rsidP="00B85EE7">
      <w:pPr>
        <w:pStyle w:val="Titre"/>
        <w:outlineLvl w:val="0"/>
        <w:rPr>
          <w:sz w:val="72"/>
          <w:szCs w:val="72"/>
        </w:rPr>
      </w:pPr>
    </w:p>
    <w:p w:rsidR="00B85EE7" w:rsidRDefault="00B85EE7" w:rsidP="00B85EE7">
      <w:pPr>
        <w:pStyle w:val="Titre"/>
        <w:outlineLvl w:val="0"/>
        <w:rPr>
          <w:sz w:val="72"/>
          <w:szCs w:val="72"/>
        </w:rPr>
      </w:pPr>
    </w:p>
    <w:p w:rsidR="00B85EE7" w:rsidRDefault="00B85EE7" w:rsidP="00B85EE7">
      <w:pPr>
        <w:pStyle w:val="Titre"/>
        <w:outlineLvl w:val="0"/>
        <w:rPr>
          <w:sz w:val="72"/>
          <w:szCs w:val="72"/>
        </w:rPr>
      </w:pPr>
    </w:p>
    <w:p w:rsidR="00B85EE7" w:rsidRDefault="00B85EE7" w:rsidP="00B85EE7">
      <w:pPr>
        <w:pStyle w:val="Titre"/>
        <w:outlineLvl w:val="0"/>
        <w:rPr>
          <w:sz w:val="72"/>
          <w:szCs w:val="72"/>
        </w:rPr>
      </w:pPr>
    </w:p>
    <w:p w:rsidR="00B85EE7" w:rsidRDefault="00B85EE7" w:rsidP="00B85EE7">
      <w:pPr>
        <w:pStyle w:val="Titre"/>
        <w:outlineLvl w:val="0"/>
        <w:rPr>
          <w:sz w:val="72"/>
          <w:szCs w:val="72"/>
        </w:rPr>
      </w:pPr>
      <w:r w:rsidRPr="0054456C">
        <w:rPr>
          <w:sz w:val="72"/>
          <w:szCs w:val="72"/>
        </w:rPr>
        <w:t>Cours</w:t>
      </w:r>
      <w:r>
        <w:rPr>
          <w:sz w:val="72"/>
          <w:szCs w:val="72"/>
        </w:rPr>
        <w:t> : l</w:t>
      </w:r>
      <w:r w:rsidRPr="0054456C">
        <w:rPr>
          <w:sz w:val="72"/>
          <w:szCs w:val="72"/>
        </w:rPr>
        <w:t>e</w:t>
      </w:r>
      <w:r>
        <w:rPr>
          <w:sz w:val="72"/>
          <w:szCs w:val="72"/>
        </w:rPr>
        <w:t>s institutions financières Marocain</w:t>
      </w:r>
      <w:r w:rsidRPr="0054456C">
        <w:rPr>
          <w:sz w:val="72"/>
          <w:szCs w:val="72"/>
        </w:rPr>
        <w:t>e</w:t>
      </w:r>
      <w:r>
        <w:rPr>
          <w:sz w:val="72"/>
          <w:szCs w:val="72"/>
        </w:rPr>
        <w:t>s</w:t>
      </w:r>
    </w:p>
    <w:p w:rsidR="00B85EE7" w:rsidRPr="0054456C" w:rsidRDefault="00B85EE7" w:rsidP="00B85EE7">
      <w:pPr>
        <w:pStyle w:val="Titre"/>
        <w:outlineLvl w:val="0"/>
        <w:rPr>
          <w:sz w:val="72"/>
          <w:szCs w:val="72"/>
        </w:rPr>
      </w:pPr>
    </w:p>
    <w:p w:rsidR="00B85EE7" w:rsidRDefault="00B85EE7" w:rsidP="00B85EE7">
      <w:pPr>
        <w:pStyle w:val="Titre"/>
        <w:outlineLvl w:val="0"/>
      </w:pPr>
      <w:r>
        <w:t>Professeur : M Mohammed kharis</w:t>
      </w:r>
    </w:p>
    <w:p w:rsidR="00B85EE7" w:rsidRDefault="00B85EE7" w:rsidP="00B85EE7">
      <w:pPr>
        <w:pStyle w:val="Titre"/>
        <w:outlineLvl w:val="0"/>
      </w:pPr>
    </w:p>
    <w:p w:rsidR="00B85EE7" w:rsidRDefault="00B85EE7" w:rsidP="00B85EE7">
      <w:pPr>
        <w:pStyle w:val="Titre"/>
        <w:outlineLvl w:val="0"/>
      </w:pPr>
    </w:p>
    <w:p w:rsidR="00B85EE7" w:rsidRDefault="00B85EE7" w:rsidP="00B85EE7">
      <w:pPr>
        <w:pStyle w:val="Titre"/>
        <w:outlineLvl w:val="0"/>
      </w:pPr>
      <w:r>
        <w:t>Tronc Commun</w:t>
      </w:r>
    </w:p>
    <w:p w:rsidR="00B85EE7" w:rsidRDefault="00B85EE7" w:rsidP="00B85EE7">
      <w:pPr>
        <w:pStyle w:val="Titre"/>
        <w:outlineLvl w:val="0"/>
      </w:pPr>
    </w:p>
    <w:p w:rsidR="00B85EE7" w:rsidRDefault="00B85EE7" w:rsidP="00B85EE7">
      <w:pPr>
        <w:pStyle w:val="Titre"/>
        <w:outlineLvl w:val="0"/>
      </w:pPr>
    </w:p>
    <w:p w:rsidR="00B85EE7" w:rsidRDefault="00B85EE7" w:rsidP="00B85EE7">
      <w:pPr>
        <w:pStyle w:val="Titre"/>
        <w:outlineLvl w:val="0"/>
      </w:pPr>
    </w:p>
    <w:p w:rsidR="00B85EE7" w:rsidRDefault="00B85EE7" w:rsidP="00B85EE7">
      <w:pPr>
        <w:pStyle w:val="Titre"/>
        <w:outlineLvl w:val="0"/>
      </w:pPr>
    </w:p>
    <w:p w:rsidR="00B85EE7" w:rsidRDefault="00B85EE7" w:rsidP="00B85EE7">
      <w:pPr>
        <w:pStyle w:val="Titre"/>
        <w:outlineLvl w:val="0"/>
      </w:pPr>
    </w:p>
    <w:p w:rsidR="00B85EE7" w:rsidRDefault="00B85EE7" w:rsidP="00B85EE7">
      <w:pPr>
        <w:pStyle w:val="Titre"/>
        <w:outlineLvl w:val="0"/>
      </w:pPr>
    </w:p>
    <w:p w:rsidR="00B85EE7" w:rsidRDefault="00B85EE7" w:rsidP="00B85EE7">
      <w:pPr>
        <w:pStyle w:val="Titre"/>
        <w:outlineLvl w:val="0"/>
      </w:pPr>
    </w:p>
    <w:p w:rsidR="00B85EE7" w:rsidRDefault="00B85EE7">
      <w:pPr>
        <w:rPr>
          <w:rFonts w:ascii="BatangChe" w:eastAsia="BatangChe" w:hAnsi="BatangChe"/>
          <w:color w:val="FF0000"/>
          <w:sz w:val="36"/>
          <w:szCs w:val="36"/>
        </w:rPr>
      </w:pPr>
    </w:p>
    <w:p w:rsidR="004618C9" w:rsidRDefault="004618C9">
      <w:pPr>
        <w:rPr>
          <w:rFonts w:ascii="BatangChe" w:eastAsia="BatangChe" w:hAnsi="BatangChe"/>
          <w:color w:val="FF0000"/>
          <w:sz w:val="36"/>
          <w:szCs w:val="36"/>
        </w:rPr>
      </w:pPr>
    </w:p>
    <w:p w:rsidR="00B85EE7" w:rsidRDefault="00B85EE7">
      <w:pPr>
        <w:rPr>
          <w:rFonts w:ascii="BatangChe" w:eastAsia="BatangChe" w:hAnsi="BatangChe"/>
          <w:color w:val="FF0000"/>
          <w:sz w:val="36"/>
          <w:szCs w:val="36"/>
        </w:rPr>
      </w:pPr>
    </w:p>
    <w:p w:rsidR="00666558" w:rsidRDefault="000E6975" w:rsidP="00A24CD9">
      <w:pPr>
        <w:jc w:val="both"/>
        <w:rPr>
          <w:rFonts w:ascii="BatangChe" w:eastAsia="BatangChe" w:hAnsi="BatangChe"/>
          <w:color w:val="FF0000"/>
          <w:sz w:val="24"/>
          <w:szCs w:val="24"/>
        </w:rPr>
      </w:pPr>
      <w:r w:rsidRPr="00546C3C">
        <w:rPr>
          <w:rFonts w:ascii="BatangChe" w:eastAsia="BatangChe" w:hAnsi="BatangChe"/>
          <w:color w:val="FF0000"/>
          <w:sz w:val="36"/>
          <w:szCs w:val="36"/>
        </w:rPr>
        <w:lastRenderedPageBreak/>
        <w:t>Les institutions financières marocaines</w:t>
      </w:r>
    </w:p>
    <w:p w:rsidR="00546C3C" w:rsidRDefault="00546C3C" w:rsidP="00A24CD9">
      <w:pPr>
        <w:jc w:val="both"/>
        <w:rPr>
          <w:rFonts w:ascii="BatangChe" w:eastAsia="BatangChe" w:hAnsi="BatangChe"/>
          <w:sz w:val="24"/>
          <w:szCs w:val="24"/>
        </w:rPr>
      </w:pPr>
      <w:r>
        <w:rPr>
          <w:rFonts w:ascii="BatangChe" w:eastAsia="BatangChe" w:hAnsi="BatangChe"/>
          <w:color w:val="FF0000"/>
          <w:sz w:val="24"/>
          <w:szCs w:val="24"/>
        </w:rPr>
        <w:t xml:space="preserve">                                                               </w:t>
      </w:r>
      <w:r w:rsidRPr="00546C3C">
        <w:rPr>
          <w:rFonts w:ascii="BatangChe" w:eastAsia="BatangChe" w:hAnsi="BatangChe"/>
          <w:sz w:val="24"/>
          <w:szCs w:val="24"/>
        </w:rPr>
        <w:t>16/10/08</w:t>
      </w:r>
    </w:p>
    <w:p w:rsidR="00546C3C" w:rsidRPr="00B51F47" w:rsidRDefault="00546C3C" w:rsidP="00A24CD9">
      <w:pPr>
        <w:pStyle w:val="Paragraphedeliste"/>
        <w:numPr>
          <w:ilvl w:val="0"/>
          <w:numId w:val="1"/>
        </w:numPr>
        <w:jc w:val="both"/>
        <w:rPr>
          <w:rFonts w:eastAsia="BatangChe"/>
          <w:color w:val="FFC000"/>
          <w:sz w:val="32"/>
          <w:szCs w:val="32"/>
        </w:rPr>
      </w:pPr>
      <w:r w:rsidRPr="00B51F47">
        <w:rPr>
          <w:rFonts w:eastAsia="BatangChe"/>
          <w:color w:val="FFC000"/>
          <w:sz w:val="32"/>
          <w:szCs w:val="32"/>
        </w:rPr>
        <w:t>La monnaie</w:t>
      </w:r>
    </w:p>
    <w:p w:rsidR="00546C3C" w:rsidRPr="00546C3C" w:rsidRDefault="00546C3C" w:rsidP="00A24CD9">
      <w:pPr>
        <w:pStyle w:val="Paragraphedeliste"/>
        <w:jc w:val="both"/>
        <w:rPr>
          <w:rFonts w:eastAsia="BatangChe"/>
          <w:color w:val="FF0000"/>
          <w:sz w:val="32"/>
          <w:szCs w:val="32"/>
        </w:rPr>
      </w:pPr>
    </w:p>
    <w:p w:rsidR="00546C3C" w:rsidRPr="00546C3C" w:rsidRDefault="00546C3C" w:rsidP="00A24CD9">
      <w:pPr>
        <w:pStyle w:val="Paragraphedeliste"/>
        <w:numPr>
          <w:ilvl w:val="0"/>
          <w:numId w:val="2"/>
        </w:numPr>
        <w:jc w:val="both"/>
        <w:rPr>
          <w:rFonts w:eastAsia="BatangChe"/>
          <w:sz w:val="28"/>
          <w:szCs w:val="28"/>
        </w:rPr>
      </w:pPr>
      <w:r w:rsidRPr="00546C3C">
        <w:rPr>
          <w:rFonts w:eastAsia="BatangChe"/>
          <w:sz w:val="28"/>
          <w:szCs w:val="28"/>
        </w:rPr>
        <w:t>Définition</w:t>
      </w:r>
      <w:r w:rsidR="00B51F47">
        <w:rPr>
          <w:rFonts w:eastAsia="BatangChe"/>
          <w:sz w:val="28"/>
          <w:szCs w:val="28"/>
        </w:rPr>
        <w:t>.</w:t>
      </w:r>
    </w:p>
    <w:p w:rsidR="00546C3C" w:rsidRPr="00546C3C" w:rsidRDefault="00546C3C" w:rsidP="00A24CD9">
      <w:pPr>
        <w:pStyle w:val="Paragraphedeliste"/>
        <w:numPr>
          <w:ilvl w:val="0"/>
          <w:numId w:val="2"/>
        </w:numPr>
        <w:jc w:val="both"/>
        <w:rPr>
          <w:rFonts w:eastAsia="BatangChe"/>
          <w:sz w:val="28"/>
          <w:szCs w:val="28"/>
        </w:rPr>
      </w:pPr>
      <w:r w:rsidRPr="00546C3C">
        <w:rPr>
          <w:rFonts w:eastAsia="BatangChe"/>
          <w:sz w:val="28"/>
          <w:szCs w:val="28"/>
        </w:rPr>
        <w:t>Fonction</w:t>
      </w:r>
      <w:r w:rsidR="00B51F47">
        <w:rPr>
          <w:rFonts w:eastAsia="BatangChe"/>
          <w:sz w:val="28"/>
          <w:szCs w:val="28"/>
        </w:rPr>
        <w:t>.</w:t>
      </w:r>
    </w:p>
    <w:p w:rsidR="00546C3C" w:rsidRPr="00546C3C" w:rsidRDefault="00546C3C" w:rsidP="00A24CD9">
      <w:pPr>
        <w:pStyle w:val="Paragraphedeliste"/>
        <w:numPr>
          <w:ilvl w:val="0"/>
          <w:numId w:val="2"/>
        </w:numPr>
        <w:jc w:val="both"/>
        <w:rPr>
          <w:rFonts w:eastAsia="BatangChe"/>
          <w:sz w:val="28"/>
          <w:szCs w:val="28"/>
        </w:rPr>
      </w:pPr>
      <w:r w:rsidRPr="00546C3C">
        <w:rPr>
          <w:rFonts w:eastAsia="BatangChe"/>
          <w:sz w:val="28"/>
          <w:szCs w:val="28"/>
        </w:rPr>
        <w:t>Formes</w:t>
      </w:r>
      <w:r w:rsidR="00B51F47">
        <w:rPr>
          <w:rFonts w:eastAsia="BatangChe"/>
          <w:sz w:val="28"/>
          <w:szCs w:val="28"/>
        </w:rPr>
        <w:t>.</w:t>
      </w:r>
    </w:p>
    <w:p w:rsidR="00546C3C" w:rsidRPr="00546C3C" w:rsidRDefault="00546C3C" w:rsidP="00A24CD9">
      <w:pPr>
        <w:pStyle w:val="Paragraphedeliste"/>
        <w:numPr>
          <w:ilvl w:val="0"/>
          <w:numId w:val="2"/>
        </w:numPr>
        <w:jc w:val="both"/>
        <w:rPr>
          <w:rFonts w:eastAsia="BatangChe"/>
          <w:sz w:val="28"/>
          <w:szCs w:val="28"/>
        </w:rPr>
      </w:pPr>
      <w:r w:rsidRPr="00546C3C">
        <w:rPr>
          <w:rFonts w:eastAsia="BatangChe"/>
          <w:sz w:val="28"/>
          <w:szCs w:val="28"/>
        </w:rPr>
        <w:t>Les agrégats</w:t>
      </w:r>
      <w:r w:rsidR="00B51F47">
        <w:rPr>
          <w:rFonts w:eastAsia="BatangChe"/>
          <w:sz w:val="28"/>
          <w:szCs w:val="28"/>
        </w:rPr>
        <w:t>.</w:t>
      </w:r>
    </w:p>
    <w:p w:rsidR="00546C3C" w:rsidRDefault="00546C3C" w:rsidP="00A24CD9">
      <w:pPr>
        <w:pStyle w:val="Paragraphedeliste"/>
        <w:numPr>
          <w:ilvl w:val="0"/>
          <w:numId w:val="2"/>
        </w:numPr>
        <w:jc w:val="both"/>
        <w:rPr>
          <w:rFonts w:eastAsia="BatangChe"/>
          <w:sz w:val="28"/>
          <w:szCs w:val="28"/>
        </w:rPr>
      </w:pPr>
      <w:r w:rsidRPr="00546C3C">
        <w:rPr>
          <w:rFonts w:eastAsia="BatangChe"/>
          <w:sz w:val="28"/>
          <w:szCs w:val="28"/>
        </w:rPr>
        <w:t>Les contreparties</w:t>
      </w:r>
      <w:r w:rsidR="00B51F47">
        <w:rPr>
          <w:rFonts w:eastAsia="BatangChe"/>
          <w:sz w:val="28"/>
          <w:szCs w:val="28"/>
        </w:rPr>
        <w:t>.</w:t>
      </w:r>
    </w:p>
    <w:p w:rsidR="00546C3C" w:rsidRDefault="00546C3C" w:rsidP="00A24CD9">
      <w:pPr>
        <w:pStyle w:val="Paragraphedeliste"/>
        <w:ind w:left="1440"/>
        <w:jc w:val="both"/>
        <w:rPr>
          <w:rFonts w:eastAsia="BatangChe"/>
          <w:sz w:val="28"/>
          <w:szCs w:val="28"/>
        </w:rPr>
      </w:pPr>
    </w:p>
    <w:p w:rsidR="00546C3C" w:rsidRPr="00B51F47" w:rsidRDefault="00546C3C" w:rsidP="00A24CD9">
      <w:pPr>
        <w:pStyle w:val="Paragraphedeliste"/>
        <w:numPr>
          <w:ilvl w:val="0"/>
          <w:numId w:val="1"/>
        </w:numPr>
        <w:jc w:val="both"/>
        <w:rPr>
          <w:rFonts w:eastAsia="BatangChe"/>
          <w:color w:val="FFC000"/>
          <w:sz w:val="32"/>
          <w:szCs w:val="32"/>
        </w:rPr>
      </w:pPr>
      <w:r w:rsidRPr="00B51F47">
        <w:rPr>
          <w:rFonts w:eastAsia="BatangChe"/>
          <w:color w:val="FFC000"/>
          <w:sz w:val="32"/>
          <w:szCs w:val="32"/>
        </w:rPr>
        <w:t>Le système bancaire marocain</w:t>
      </w:r>
      <w:r w:rsidR="00B51F47">
        <w:rPr>
          <w:rFonts w:eastAsia="BatangChe"/>
          <w:color w:val="FFC000"/>
          <w:sz w:val="32"/>
          <w:szCs w:val="32"/>
        </w:rPr>
        <w:t>.</w:t>
      </w:r>
    </w:p>
    <w:p w:rsidR="00546C3C" w:rsidRDefault="00546C3C" w:rsidP="00A24CD9">
      <w:pPr>
        <w:pStyle w:val="Paragraphedeliste"/>
        <w:numPr>
          <w:ilvl w:val="0"/>
          <w:numId w:val="3"/>
        </w:numPr>
        <w:jc w:val="both"/>
        <w:rPr>
          <w:rFonts w:eastAsia="BatangChe"/>
          <w:sz w:val="28"/>
          <w:szCs w:val="28"/>
        </w:rPr>
      </w:pPr>
      <w:r>
        <w:rPr>
          <w:rFonts w:eastAsia="BatangChe"/>
          <w:sz w:val="28"/>
          <w:szCs w:val="28"/>
        </w:rPr>
        <w:t xml:space="preserve">La réglementation </w:t>
      </w:r>
      <w:r w:rsidR="00B51F47">
        <w:rPr>
          <w:rFonts w:eastAsia="BatangChe"/>
          <w:sz w:val="28"/>
          <w:szCs w:val="28"/>
        </w:rPr>
        <w:t>(la</w:t>
      </w:r>
      <w:r>
        <w:rPr>
          <w:rFonts w:eastAsia="BatangChe"/>
          <w:sz w:val="28"/>
          <w:szCs w:val="28"/>
        </w:rPr>
        <w:t xml:space="preserve"> loi bancaire).</w:t>
      </w:r>
    </w:p>
    <w:p w:rsidR="00546C3C" w:rsidRDefault="00546C3C" w:rsidP="00A24CD9">
      <w:pPr>
        <w:pStyle w:val="Paragraphedeliste"/>
        <w:numPr>
          <w:ilvl w:val="0"/>
          <w:numId w:val="3"/>
        </w:numPr>
        <w:jc w:val="both"/>
        <w:rPr>
          <w:rFonts w:eastAsia="BatangChe"/>
          <w:sz w:val="28"/>
          <w:szCs w:val="28"/>
        </w:rPr>
      </w:pPr>
      <w:r>
        <w:rPr>
          <w:rFonts w:eastAsia="BatangChe"/>
          <w:sz w:val="28"/>
          <w:szCs w:val="28"/>
        </w:rPr>
        <w:t>Les différents établissements bancaires</w:t>
      </w:r>
      <w:r w:rsidR="00B51F47">
        <w:rPr>
          <w:rFonts w:eastAsia="BatangChe"/>
          <w:sz w:val="28"/>
          <w:szCs w:val="28"/>
        </w:rPr>
        <w:t>.</w:t>
      </w:r>
    </w:p>
    <w:p w:rsidR="00B51F47" w:rsidRDefault="00B51F47" w:rsidP="00A24CD9">
      <w:pPr>
        <w:pStyle w:val="Paragraphedeliste"/>
        <w:ind w:left="1440"/>
        <w:jc w:val="both"/>
        <w:rPr>
          <w:rFonts w:eastAsia="BatangChe"/>
          <w:sz w:val="28"/>
          <w:szCs w:val="28"/>
        </w:rPr>
      </w:pPr>
    </w:p>
    <w:p w:rsidR="00546C3C" w:rsidRDefault="00B51F47" w:rsidP="00A24CD9">
      <w:pPr>
        <w:pStyle w:val="Paragraphedeliste"/>
        <w:numPr>
          <w:ilvl w:val="0"/>
          <w:numId w:val="1"/>
        </w:numPr>
        <w:jc w:val="both"/>
        <w:rPr>
          <w:rFonts w:eastAsia="BatangChe"/>
          <w:color w:val="FFC000"/>
          <w:sz w:val="32"/>
          <w:szCs w:val="32"/>
        </w:rPr>
      </w:pPr>
      <w:r w:rsidRPr="00B51F47">
        <w:rPr>
          <w:rFonts w:eastAsia="BatangChe"/>
          <w:color w:val="FFC000"/>
          <w:sz w:val="32"/>
          <w:szCs w:val="32"/>
        </w:rPr>
        <w:t>La politique monétaire</w:t>
      </w:r>
      <w:r>
        <w:rPr>
          <w:rFonts w:eastAsia="BatangChe"/>
          <w:color w:val="FFC000"/>
          <w:sz w:val="32"/>
          <w:szCs w:val="32"/>
        </w:rPr>
        <w:t>.</w:t>
      </w:r>
    </w:p>
    <w:p w:rsidR="00B51F47" w:rsidRPr="00B51F47" w:rsidRDefault="00B51F47" w:rsidP="00A24CD9">
      <w:pPr>
        <w:pStyle w:val="Paragraphedeliste"/>
        <w:jc w:val="both"/>
        <w:rPr>
          <w:rFonts w:eastAsia="BatangChe"/>
          <w:color w:val="FFC000"/>
          <w:sz w:val="32"/>
          <w:szCs w:val="32"/>
        </w:rPr>
      </w:pPr>
    </w:p>
    <w:p w:rsidR="00B51F47" w:rsidRPr="00B51F47" w:rsidRDefault="00B51F47" w:rsidP="00A24CD9">
      <w:pPr>
        <w:pStyle w:val="Paragraphedeliste"/>
        <w:numPr>
          <w:ilvl w:val="0"/>
          <w:numId w:val="1"/>
        </w:numPr>
        <w:jc w:val="both"/>
        <w:rPr>
          <w:rFonts w:eastAsia="BatangChe"/>
          <w:color w:val="FFC000"/>
          <w:sz w:val="32"/>
          <w:szCs w:val="32"/>
        </w:rPr>
      </w:pPr>
      <w:r w:rsidRPr="00B51F47">
        <w:rPr>
          <w:rFonts w:eastAsia="BatangChe"/>
          <w:color w:val="FFC000"/>
          <w:sz w:val="32"/>
          <w:szCs w:val="32"/>
        </w:rPr>
        <w:t>Les marchés de capitaux</w:t>
      </w:r>
      <w:r>
        <w:rPr>
          <w:rFonts w:eastAsia="BatangChe"/>
          <w:color w:val="FFC000"/>
          <w:sz w:val="32"/>
          <w:szCs w:val="32"/>
        </w:rPr>
        <w:t>.</w:t>
      </w:r>
    </w:p>
    <w:p w:rsidR="007573AA" w:rsidRDefault="00B10A41" w:rsidP="00A24CD9">
      <w:pPr>
        <w:pStyle w:val="Paragraphedeliste"/>
        <w:jc w:val="both"/>
        <w:rPr>
          <w:rFonts w:eastAsia="BatangChe"/>
          <w:color w:val="FFC000"/>
          <w:sz w:val="32"/>
          <w:szCs w:val="32"/>
        </w:rPr>
      </w:pPr>
      <w:r>
        <w:rPr>
          <w:rFonts w:eastAsia="BatangChe"/>
          <w:noProof/>
          <w:color w:val="FFC000"/>
          <w:sz w:val="32"/>
          <w:szCs w:val="32"/>
          <w:lang w:eastAsia="fr-FR"/>
        </w:rPr>
        <w:pict>
          <v:shapetype id="_x0000_t32" coordsize="21600,21600" o:spt="32" o:oned="t" path="m,l21600,21600e" filled="f">
            <v:path arrowok="t" fillok="f" o:connecttype="none"/>
            <o:lock v:ext="edit" shapetype="t"/>
          </v:shapetype>
          <v:shape id="_x0000_s1026" type="#_x0000_t32" style="position:absolute;left:0;text-align:left;margin-left:107.65pt;margin-top:25.9pt;width:236.25pt;height:0;z-index:251658240" o:connectortype="straight"/>
        </w:pict>
      </w:r>
    </w:p>
    <w:p w:rsidR="007573AA" w:rsidRPr="007573AA" w:rsidRDefault="007573AA" w:rsidP="00A24CD9">
      <w:pPr>
        <w:jc w:val="both"/>
      </w:pPr>
    </w:p>
    <w:p w:rsidR="007573AA" w:rsidRDefault="007573AA" w:rsidP="00A24CD9">
      <w:pPr>
        <w:jc w:val="both"/>
      </w:pPr>
    </w:p>
    <w:p w:rsidR="00546C3C" w:rsidRPr="001C77E1" w:rsidRDefault="007573AA" w:rsidP="0002021D">
      <w:pPr>
        <w:pStyle w:val="Paragraphedeliste"/>
        <w:numPr>
          <w:ilvl w:val="0"/>
          <w:numId w:val="7"/>
        </w:numPr>
        <w:jc w:val="both"/>
        <w:rPr>
          <w:rFonts w:eastAsia="BatangChe"/>
          <w:color w:val="FFC000"/>
          <w:sz w:val="32"/>
          <w:szCs w:val="32"/>
        </w:rPr>
      </w:pPr>
      <w:r w:rsidRPr="001C77E1">
        <w:rPr>
          <w:rFonts w:eastAsia="BatangChe"/>
          <w:color w:val="FFC000"/>
          <w:sz w:val="32"/>
          <w:szCs w:val="32"/>
        </w:rPr>
        <w:t xml:space="preserve">La monnaie </w:t>
      </w:r>
    </w:p>
    <w:p w:rsidR="007573AA" w:rsidRDefault="007573AA" w:rsidP="00A24CD9">
      <w:pPr>
        <w:jc w:val="both"/>
      </w:pPr>
      <w:r>
        <w:t>La monnaie est un bien particulier qui joue les principales fonctions suivantes :</w:t>
      </w:r>
    </w:p>
    <w:p w:rsidR="007573AA" w:rsidRDefault="007573AA" w:rsidP="0002021D">
      <w:pPr>
        <w:pStyle w:val="Paragraphedeliste"/>
        <w:numPr>
          <w:ilvl w:val="0"/>
          <w:numId w:val="4"/>
        </w:numPr>
        <w:jc w:val="both"/>
      </w:pPr>
      <w:r>
        <w:t>Mesurer la valeur.</w:t>
      </w:r>
    </w:p>
    <w:p w:rsidR="007573AA" w:rsidRDefault="007573AA" w:rsidP="0002021D">
      <w:pPr>
        <w:pStyle w:val="Paragraphedeliste"/>
        <w:numPr>
          <w:ilvl w:val="0"/>
          <w:numId w:val="4"/>
        </w:numPr>
        <w:jc w:val="both"/>
      </w:pPr>
      <w:r>
        <w:t>La monnaie est un moyen d’échange.</w:t>
      </w:r>
    </w:p>
    <w:p w:rsidR="007573AA" w:rsidRDefault="007573AA" w:rsidP="0002021D">
      <w:pPr>
        <w:pStyle w:val="Paragraphedeliste"/>
        <w:numPr>
          <w:ilvl w:val="0"/>
          <w:numId w:val="4"/>
        </w:numPr>
        <w:jc w:val="both"/>
      </w:pPr>
      <w:r>
        <w:t>La monnaie est un moyen de payement.</w:t>
      </w:r>
    </w:p>
    <w:p w:rsidR="007573AA" w:rsidRDefault="001C77E1" w:rsidP="0002021D">
      <w:pPr>
        <w:pStyle w:val="Paragraphedeliste"/>
        <w:numPr>
          <w:ilvl w:val="0"/>
          <w:numId w:val="4"/>
        </w:numPr>
        <w:jc w:val="both"/>
      </w:pPr>
      <w:r>
        <w:t>La monnaie est un moyen d’épargne (l’épargne monétaire).</w:t>
      </w:r>
    </w:p>
    <w:p w:rsidR="001C77E1" w:rsidRDefault="001C77E1" w:rsidP="0002021D">
      <w:pPr>
        <w:pStyle w:val="Paragraphedeliste"/>
        <w:numPr>
          <w:ilvl w:val="0"/>
          <w:numId w:val="4"/>
        </w:numPr>
        <w:jc w:val="both"/>
      </w:pPr>
      <w:r>
        <w:t>La monnaie est un instrument de politique.(la politique monétaire est une composante essentielle de la politique économique).</w:t>
      </w:r>
    </w:p>
    <w:p w:rsidR="001C77E1" w:rsidRDefault="001C77E1" w:rsidP="00A24CD9">
      <w:pPr>
        <w:jc w:val="both"/>
      </w:pPr>
    </w:p>
    <w:p w:rsidR="001C77E1" w:rsidRDefault="001C77E1" w:rsidP="00A24CD9">
      <w:pPr>
        <w:jc w:val="both"/>
      </w:pPr>
    </w:p>
    <w:p w:rsidR="0084492F" w:rsidRDefault="0084492F" w:rsidP="00A24CD9">
      <w:pPr>
        <w:jc w:val="both"/>
      </w:pPr>
    </w:p>
    <w:p w:rsidR="001C77E1" w:rsidRDefault="001C77E1" w:rsidP="00A24CD9">
      <w:pPr>
        <w:jc w:val="both"/>
      </w:pPr>
    </w:p>
    <w:p w:rsidR="001C77E1" w:rsidRDefault="001C77E1" w:rsidP="0002021D">
      <w:pPr>
        <w:pStyle w:val="Paragraphedeliste"/>
        <w:numPr>
          <w:ilvl w:val="0"/>
          <w:numId w:val="5"/>
        </w:numPr>
        <w:jc w:val="both"/>
        <w:rPr>
          <w:color w:val="00B050"/>
        </w:rPr>
      </w:pPr>
      <w:r w:rsidRPr="001C77E1">
        <w:rPr>
          <w:color w:val="00B050"/>
        </w:rPr>
        <w:t>Mesurer la valeur.</w:t>
      </w:r>
    </w:p>
    <w:p w:rsidR="001C77E1" w:rsidRDefault="00B10A41" w:rsidP="00A24CD9">
      <w:pPr>
        <w:jc w:val="both"/>
      </w:pPr>
      <w:r>
        <w:rPr>
          <w:noProof/>
          <w:lang w:eastAsia="fr-FR"/>
        </w:rPr>
        <w:pict>
          <v:shape id="_x0000_s1027" type="#_x0000_t32" style="position:absolute;left:0;text-align:left;margin-left:46.9pt;margin-top:36.45pt;width:27pt;height:0;z-index:251659264" o:connectortype="straight">
            <v:stroke startarrow="block" endarrow="block"/>
          </v:shape>
        </w:pict>
      </w:r>
      <w:r w:rsidR="004C1EE0">
        <w:t xml:space="preserve">    </w:t>
      </w:r>
      <w:r w:rsidR="001C77E1" w:rsidRPr="001C77E1">
        <w:t>Dans une économie où les biens et services s’échangent la mesure de la valeur s’impose.</w:t>
      </w:r>
      <w:r w:rsidR="001C77E1">
        <w:t xml:space="preserve"> Dans une économie de troc une marchandise </w:t>
      </w:r>
      <w:r w:rsidR="004C1EE0">
        <w:t>s’échange contre une autre à condition de déterminer le prix relatif. (A                B combien de A pour un B et l’inverse). Supposant que nous avons une marchandise  à échanger il faut déterminer   n(n-1)/2 :prix relatif à partir de la matrice des prix ; mais si « n » augmente le nombre de prix relatifs à déterminer de</w:t>
      </w:r>
      <w:r w:rsidR="00F55487">
        <w:t>vient de plus en plus important ; ce qui complique les opérations de change d’où la nécessité d’introduire la monnaie pour déterminer la valeur de tous les biens et services à échanger. C’est le prix absolu qui peut être défini comme le nombre d’unités monétaires nécessaires pour acquérir un bien ou un service.</w:t>
      </w:r>
    </w:p>
    <w:p w:rsidR="009C70A5" w:rsidRPr="0097294A" w:rsidRDefault="00F55487" w:rsidP="0002021D">
      <w:pPr>
        <w:pStyle w:val="Paragraphedeliste"/>
        <w:numPr>
          <w:ilvl w:val="0"/>
          <w:numId w:val="5"/>
        </w:numPr>
        <w:jc w:val="both"/>
        <w:rPr>
          <w:color w:val="00B050"/>
        </w:rPr>
      </w:pPr>
      <w:r w:rsidRPr="0097294A">
        <w:rPr>
          <w:color w:val="00B050"/>
        </w:rPr>
        <w:t>La monnaie est un moyen d’échange</w:t>
      </w:r>
      <w:r w:rsidR="009C70A5" w:rsidRPr="0097294A">
        <w:rPr>
          <w:color w:val="00B050"/>
        </w:rPr>
        <w:t xml:space="preserve"> </w:t>
      </w:r>
    </w:p>
    <w:p w:rsidR="00F55487" w:rsidRDefault="009C70A5" w:rsidP="00A24CD9">
      <w:pPr>
        <w:jc w:val="both"/>
      </w:pPr>
      <w:r>
        <w:t xml:space="preserve">      Dans une économie monétaire la monnaie est utilisé pour effectuer les opérations de change exemple : à </w:t>
      </w:r>
      <w:r w:rsidRPr="0097294A">
        <w:rPr>
          <w:rFonts w:ascii="BatangChe" w:eastAsia="BatangChe" w:hAnsi="BatangChe"/>
        </w:rPr>
        <w:t>temps 1</w:t>
      </w:r>
      <w:r>
        <w:t xml:space="preserve"> je peux vendre le produit </w:t>
      </w:r>
      <w:r w:rsidRPr="0097294A">
        <w:rPr>
          <w:rFonts w:ascii="BatangChe" w:eastAsia="BatangChe" w:hAnsi="BatangChe"/>
        </w:rPr>
        <w:t>(A)</w:t>
      </w:r>
      <w:r>
        <w:t xml:space="preserve"> contre de la monnaie et à </w:t>
      </w:r>
      <w:r w:rsidRPr="0097294A">
        <w:rPr>
          <w:rFonts w:ascii="BatangChe" w:eastAsia="BatangChe" w:hAnsi="BatangChe"/>
        </w:rPr>
        <w:t xml:space="preserve">(temps 2) </w:t>
      </w:r>
      <w:r>
        <w:t xml:space="preserve">je peux acheter le produit </w:t>
      </w:r>
      <w:r w:rsidRPr="0097294A">
        <w:rPr>
          <w:rFonts w:ascii="BatangChe" w:eastAsia="BatangChe" w:hAnsi="BatangChe"/>
        </w:rPr>
        <w:t>(A)</w:t>
      </w:r>
      <w:r>
        <w:t xml:space="preserve"> </w:t>
      </w:r>
      <w:r w:rsidRPr="00A17B70">
        <w:t>contre</w:t>
      </w:r>
      <w:r>
        <w:t xml:space="preserve"> de la monnaie. Le </w:t>
      </w:r>
      <w:r w:rsidRPr="0097294A">
        <w:rPr>
          <w:rFonts w:ascii="BatangChe" w:eastAsia="BatangChe" w:hAnsi="BatangChe"/>
        </w:rPr>
        <w:t>temps1</w:t>
      </w:r>
      <w:r>
        <w:t xml:space="preserve"> peut être différente de </w:t>
      </w:r>
      <w:r w:rsidRPr="0097294A">
        <w:rPr>
          <w:rFonts w:ascii="BatangChe" w:eastAsia="BatangChe" w:hAnsi="BatangChe"/>
        </w:rPr>
        <w:t>temps 2</w:t>
      </w:r>
      <w:r>
        <w:t xml:space="preserve"> et aussi le lieu d’échange peut être différent. La monnaie est aussi considéré comme un facteur de liberté pour les agents </w:t>
      </w:r>
      <w:r w:rsidR="0097294A">
        <w:t>économiques (</w:t>
      </w:r>
      <w:r>
        <w:t>alors que le troc il faut la coïncidence des volontés) la monnaie est alors instrument d’échange indéterminé dans le temps dans l’espace dans le bien à acquérir auprès de n’importe quel opérateur.</w:t>
      </w:r>
    </w:p>
    <w:p w:rsidR="00A17B70" w:rsidRDefault="00A17B70" w:rsidP="00A24CD9">
      <w:pPr>
        <w:jc w:val="both"/>
      </w:pPr>
      <w:r>
        <w:t xml:space="preserve">                                                                                                                                                         23/10/08</w:t>
      </w:r>
    </w:p>
    <w:p w:rsidR="00A17B70" w:rsidRDefault="00A17B70" w:rsidP="0002021D">
      <w:pPr>
        <w:pStyle w:val="Paragraphedeliste"/>
        <w:numPr>
          <w:ilvl w:val="0"/>
          <w:numId w:val="5"/>
        </w:numPr>
        <w:jc w:val="both"/>
        <w:rPr>
          <w:color w:val="00B050"/>
        </w:rPr>
      </w:pPr>
      <w:r w:rsidRPr="00A17B70">
        <w:rPr>
          <w:color w:val="00B050"/>
        </w:rPr>
        <w:t>La monnaie est un moyen de payement</w:t>
      </w:r>
      <w:r>
        <w:rPr>
          <w:color w:val="00B050"/>
        </w:rPr>
        <w:t xml:space="preserve">                </w:t>
      </w:r>
    </w:p>
    <w:p w:rsidR="00A17B70" w:rsidRDefault="00A17B70" w:rsidP="00A24CD9">
      <w:pPr>
        <w:jc w:val="both"/>
      </w:pPr>
      <w:r>
        <w:t>Et pour être moyen de payement elle doit avoir une valeur :</w:t>
      </w:r>
    </w:p>
    <w:p w:rsidR="00A17B70" w:rsidRDefault="00A17B70" w:rsidP="0002021D">
      <w:pPr>
        <w:pStyle w:val="Paragraphedeliste"/>
        <w:numPr>
          <w:ilvl w:val="0"/>
          <w:numId w:val="6"/>
        </w:numPr>
        <w:jc w:val="both"/>
      </w:pPr>
      <w:r w:rsidRPr="00A17B70">
        <w:rPr>
          <w:b/>
          <w:bCs/>
        </w:rPr>
        <w:t>La valeur intrinsèque</w:t>
      </w:r>
      <w:r>
        <w:t> : les monnaies en circulation en ce moment  n’ont pas de valeur intrinsèque, marchande. Autrefois il y avait des monnaies d’or ou d’argent elles avaient une valeur marchande.</w:t>
      </w:r>
    </w:p>
    <w:p w:rsidR="00A17B70" w:rsidRDefault="00A17B70" w:rsidP="0002021D">
      <w:pPr>
        <w:pStyle w:val="Paragraphedeliste"/>
        <w:numPr>
          <w:ilvl w:val="0"/>
          <w:numId w:val="6"/>
        </w:numPr>
        <w:jc w:val="both"/>
      </w:pPr>
      <w:r>
        <w:t>La valeur faciale, nominale </w:t>
      </w:r>
      <w:r w:rsidR="008D68B5">
        <w:t>: c’est</w:t>
      </w:r>
      <w:r>
        <w:t xml:space="preserve"> le nombre d’unité monétaire inscrit sur la face de la monnaie.</w:t>
      </w:r>
      <w:r w:rsidR="008D68B5">
        <w:t xml:space="preserve"> Cette valeur faciale doit être garantie par l’émetteur : l’état.  La monnaie est alors un moyen de pouvoir que détient  l’état.</w:t>
      </w:r>
    </w:p>
    <w:p w:rsidR="008D68B5" w:rsidRDefault="008D68B5" w:rsidP="00A24CD9">
      <w:pPr>
        <w:pStyle w:val="Paragraphedeliste"/>
        <w:ind w:left="1440"/>
        <w:jc w:val="both"/>
      </w:pPr>
      <w:r>
        <w:t>La monnaie nationale n’a de valeur faciale qu’a l’intérieur  des frontières marocaines.</w:t>
      </w:r>
    </w:p>
    <w:p w:rsidR="008D68B5" w:rsidRDefault="008D68B5" w:rsidP="0002021D">
      <w:pPr>
        <w:pStyle w:val="Paragraphedeliste"/>
        <w:numPr>
          <w:ilvl w:val="0"/>
          <w:numId w:val="6"/>
        </w:numPr>
        <w:jc w:val="both"/>
      </w:pPr>
      <w:r>
        <w:t>La valeur réelle</w:t>
      </w:r>
      <w:r w:rsidR="004A1B89">
        <w:t xml:space="preserve"> : c’est le pouvoir d’achat de la monnaie c’est le nombre de biens ou de services qu’on peut acquérir par unité monétaire il est égale à (1/prix) cette valeur se dégrade dans le temps. </w:t>
      </w:r>
    </w:p>
    <w:p w:rsidR="004A1B89" w:rsidRDefault="004A1B89" w:rsidP="00A24CD9">
      <w:pPr>
        <w:pStyle w:val="Paragraphedeliste"/>
        <w:ind w:left="1440"/>
        <w:jc w:val="both"/>
      </w:pPr>
      <w:r>
        <w:t>Cette valeur doit être stable au moins à court terme d’où la nécessité de maîtriser l’inflation pour préserver le pouvoir d’achat de la monnaie.</w:t>
      </w:r>
    </w:p>
    <w:p w:rsidR="004A1B89" w:rsidRDefault="004A1B89" w:rsidP="0002021D">
      <w:pPr>
        <w:pStyle w:val="Paragraphedeliste"/>
        <w:numPr>
          <w:ilvl w:val="0"/>
          <w:numId w:val="6"/>
        </w:numPr>
        <w:jc w:val="both"/>
      </w:pPr>
      <w:r>
        <w:t>La valeur étrangère : la monnaie nationale  doit avoir une valeur externe, c'est-à-dire une valeur par rapport aux monnaies étrangères</w:t>
      </w:r>
      <w:r w:rsidR="00A967CC">
        <w:t>. C’est le taux de change : le nombre d’unité monétaire nationale nécessaire pour l’acquisition d’une monnaie étrangère.</w:t>
      </w:r>
    </w:p>
    <w:p w:rsidR="00A967CC" w:rsidRPr="00902D24" w:rsidRDefault="00A967CC" w:rsidP="0002021D">
      <w:pPr>
        <w:pStyle w:val="Paragraphedeliste"/>
        <w:numPr>
          <w:ilvl w:val="0"/>
          <w:numId w:val="5"/>
        </w:numPr>
        <w:jc w:val="both"/>
        <w:rPr>
          <w:color w:val="00B050"/>
        </w:rPr>
      </w:pPr>
      <w:r w:rsidRPr="00902D24">
        <w:rPr>
          <w:color w:val="00B050"/>
        </w:rPr>
        <w:t>La monnaie est un moyen d’épargne</w:t>
      </w:r>
    </w:p>
    <w:p w:rsidR="00902D24" w:rsidRDefault="00A967CC" w:rsidP="00A24CD9">
      <w:pPr>
        <w:jc w:val="both"/>
      </w:pPr>
      <w:r>
        <w:t xml:space="preserve">C’est un moyen de réserve de la valeur sous condition de préserver la valeur réelle de la </w:t>
      </w:r>
      <w:r w:rsidR="007B229B">
        <w:t>monnaie au moins au court terme</w:t>
      </w:r>
    </w:p>
    <w:p w:rsidR="00A967CC" w:rsidRPr="00902D24" w:rsidRDefault="00A967CC" w:rsidP="0002021D">
      <w:pPr>
        <w:pStyle w:val="Paragraphedeliste"/>
        <w:numPr>
          <w:ilvl w:val="0"/>
          <w:numId w:val="5"/>
        </w:numPr>
        <w:jc w:val="both"/>
        <w:rPr>
          <w:color w:val="00B050"/>
        </w:rPr>
      </w:pPr>
      <w:r w:rsidRPr="00902D24">
        <w:rPr>
          <w:color w:val="00B050"/>
        </w:rPr>
        <w:lastRenderedPageBreak/>
        <w:t>La monnaie est un moyen de la politique économique </w:t>
      </w:r>
    </w:p>
    <w:p w:rsidR="00A17B70" w:rsidRDefault="00A967CC" w:rsidP="00A24CD9">
      <w:pPr>
        <w:jc w:val="both"/>
      </w:pPr>
      <w:r>
        <w:t xml:space="preserve">Et particulièrement de la politique monétaire. En agissant soit sur la liquidité </w:t>
      </w:r>
      <w:r w:rsidR="00096018">
        <w:t xml:space="preserve"> ou sur les taux d’intérêt  direct  appelé aussi taux de base, appliquer par la banque centrale aux autres banques</w:t>
      </w:r>
      <w:r w:rsidR="00902D24">
        <w:t>. (Avec</w:t>
      </w:r>
      <w:r w:rsidR="00096018">
        <w:t xml:space="preserve"> lequel la banque centrale vend de la monnaie aux autres banques).</w:t>
      </w:r>
    </w:p>
    <w:p w:rsidR="00902D24" w:rsidRDefault="00902D24" w:rsidP="0002021D">
      <w:pPr>
        <w:pStyle w:val="Paragraphedeliste"/>
        <w:numPr>
          <w:ilvl w:val="0"/>
          <w:numId w:val="8"/>
        </w:numPr>
        <w:jc w:val="both"/>
        <w:rPr>
          <w:color w:val="FF0000"/>
        </w:rPr>
      </w:pPr>
      <w:r w:rsidRPr="00902D24">
        <w:rPr>
          <w:color w:val="FF0000"/>
        </w:rPr>
        <w:t>Les formes de la monnaie</w:t>
      </w:r>
    </w:p>
    <w:p w:rsidR="00902D24" w:rsidRDefault="00B10A41" w:rsidP="00A24CD9">
      <w:pPr>
        <w:jc w:val="both"/>
      </w:pPr>
      <w:r>
        <w:rPr>
          <w:noProof/>
          <w:lang w:eastAsia="fr-FR"/>
        </w:rPr>
        <w:pict>
          <v:shape id="_x0000_s1028" type="#_x0000_t32" style="position:absolute;left:0;text-align:left;margin-left:181.9pt;margin-top:22.25pt;width:25.5pt;height:0;z-index:251660288" o:connectortype="straight">
            <v:stroke endarrow="block"/>
          </v:shape>
        </w:pict>
      </w:r>
      <w:r w:rsidR="007947F9">
        <w:t xml:space="preserve">La monnaie est passée plusieurs étapes, d’une monnaie </w:t>
      </w:r>
      <w:r w:rsidR="00B96C4A">
        <w:t>matérielle</w:t>
      </w:r>
      <w:r w:rsidR="007947F9">
        <w:t xml:space="preserve"> à une monnaie totalement dématérialisée </w:t>
      </w:r>
      <w:r w:rsidR="00B96C4A">
        <w:t>(sans</w:t>
      </w:r>
      <w:r w:rsidR="007947F9">
        <w:t xml:space="preserve"> support matériel)                 encourager les transactions.</w:t>
      </w:r>
    </w:p>
    <w:p w:rsidR="00B96C4A" w:rsidRDefault="00B96C4A" w:rsidP="00A24CD9">
      <w:pPr>
        <w:jc w:val="both"/>
      </w:pPr>
      <w:r>
        <w:t>Les formes de la monnaie en circulation actuellement sont de deux types :</w:t>
      </w:r>
    </w:p>
    <w:p w:rsidR="00B96C4A" w:rsidRDefault="00B96C4A" w:rsidP="0002021D">
      <w:pPr>
        <w:pStyle w:val="Paragraphedeliste"/>
        <w:numPr>
          <w:ilvl w:val="0"/>
          <w:numId w:val="9"/>
        </w:numPr>
        <w:jc w:val="both"/>
      </w:pPr>
      <w:r>
        <w:t>La monnaie fiduciaire.</w:t>
      </w:r>
    </w:p>
    <w:p w:rsidR="00B96C4A" w:rsidRDefault="00B96C4A" w:rsidP="0002021D">
      <w:pPr>
        <w:pStyle w:val="Paragraphedeliste"/>
        <w:numPr>
          <w:ilvl w:val="0"/>
          <w:numId w:val="9"/>
        </w:numPr>
        <w:jc w:val="both"/>
      </w:pPr>
      <w:r>
        <w:t>La monnaie scripturale.</w:t>
      </w:r>
    </w:p>
    <w:p w:rsidR="00B96C4A" w:rsidRDefault="00B96C4A" w:rsidP="00A24CD9">
      <w:pPr>
        <w:jc w:val="both"/>
      </w:pPr>
      <w:r>
        <w:t xml:space="preserve">Pour la monnaie fiduciaire (MF) c’est une forme de monnaie dont la circulation est basée seulement sur la confiance, elle est constituée de deux composantes : </w:t>
      </w:r>
    </w:p>
    <w:p w:rsidR="00B96C4A" w:rsidRDefault="00B96C4A" w:rsidP="00A24CD9">
      <w:pPr>
        <w:jc w:val="both"/>
      </w:pPr>
      <w:r w:rsidRPr="0084492F">
        <w:rPr>
          <w:b/>
          <w:bCs/>
          <w:color w:val="00B050"/>
        </w:rPr>
        <w:t>La monnaie divisionnaire</w:t>
      </w:r>
      <w:r>
        <w:t xml:space="preserve"> MD (les pièces de monnaie auxquelles on ajoute les billets de banques).  </w:t>
      </w:r>
    </w:p>
    <w:p w:rsidR="00B96C4A" w:rsidRDefault="00B10A41" w:rsidP="00A24CD9">
      <w:pPr>
        <w:jc w:val="both"/>
      </w:pPr>
      <w:r>
        <w:rPr>
          <w:noProof/>
          <w:lang w:eastAsia="fr-FR"/>
        </w:rPr>
        <w:pict>
          <v:shape id="_x0000_s1029" type="#_x0000_t32" style="position:absolute;left:0;text-align:left;margin-left:-1.1pt;margin-top:7.7pt;width:15.75pt;height:.05pt;z-index:251661312" o:connectortype="straight">
            <v:stroke endarrow="block"/>
          </v:shape>
        </w:pict>
      </w:r>
      <w:r w:rsidR="00B96C4A">
        <w:t xml:space="preserve">       </w:t>
      </w:r>
      <w:r w:rsidR="00AB2FCC">
        <w:t>MF=MD+les billets de banque. Il faut noter que la monnaie divisionnaire a un pouvoir libératoire limité même à l’intérieur du territoire a 50 fois la valeur faciale de chaque pièce monétaire. Pour les billets de banque elles ne peuvent être rejeté  leur pouvoir libératoire est totale.</w:t>
      </w:r>
    </w:p>
    <w:p w:rsidR="00AB2FCC" w:rsidRDefault="00AB2FCC" w:rsidP="00A24CD9">
      <w:pPr>
        <w:jc w:val="both"/>
      </w:pPr>
      <w:r w:rsidRPr="0084492F">
        <w:rPr>
          <w:b/>
          <w:bCs/>
          <w:color w:val="00B050"/>
        </w:rPr>
        <w:t>La monnaie scripturale</w:t>
      </w:r>
      <w:r>
        <w:rPr>
          <w:b/>
          <w:bCs/>
        </w:rPr>
        <w:t xml:space="preserve"> : </w:t>
      </w:r>
      <w:r w:rsidRPr="00AB2FCC">
        <w:t xml:space="preserve">c’est la monnaie écriture </w:t>
      </w:r>
      <w:r>
        <w:t xml:space="preserve">sur les registres bancaires, elle peut être évaluée par la somme des </w:t>
      </w:r>
      <w:r w:rsidR="008136D0">
        <w:t xml:space="preserve">soldes créditeurs des comptes à vu des agents non bancaires (ménage, entreprise non </w:t>
      </w:r>
      <w:r w:rsidR="00654D42">
        <w:t>bancaire, trésor</w:t>
      </w:r>
      <w:r w:rsidR="008136D0">
        <w:t xml:space="preserve">…) auprès des agents </w:t>
      </w:r>
      <w:r w:rsidR="00654D42">
        <w:t>bancaires (banque</w:t>
      </w:r>
      <w:r w:rsidR="008136D0">
        <w:t>, trésors,</w:t>
      </w:r>
      <w:r w:rsidR="008810A0">
        <w:t xml:space="preserve"> …)</w:t>
      </w:r>
    </w:p>
    <w:p w:rsidR="008810A0" w:rsidRDefault="008810A0" w:rsidP="00A24CD9">
      <w:pPr>
        <w:jc w:val="both"/>
      </w:pPr>
      <w:r w:rsidRPr="008810A0">
        <w:rPr>
          <w:u w:val="single"/>
        </w:rPr>
        <w:t>Note</w:t>
      </w:r>
      <w:r>
        <w:t>1 : on constate que le trésor a un double statu : 1) agent non bancaire qui  est l’agent comptable de l’état (il ordonner les dépenses et collecter les recettes publiques) dans ce cas il est gérer par la banque centrale. 2) agent bancaire dans la mesure où il peut ouvrir des comptes pour collecter des dépôts.</w:t>
      </w:r>
    </w:p>
    <w:p w:rsidR="008810A0" w:rsidRDefault="008810A0" w:rsidP="00A24CD9">
      <w:pPr>
        <w:jc w:val="both"/>
      </w:pPr>
      <w:r w:rsidRPr="008B5CAD">
        <w:rPr>
          <w:u w:val="single"/>
        </w:rPr>
        <w:t xml:space="preserve"> </w:t>
      </w:r>
      <w:r w:rsidR="008B5CAD" w:rsidRPr="008B5CAD">
        <w:rPr>
          <w:u w:val="single"/>
        </w:rPr>
        <w:t>Note</w:t>
      </w:r>
      <w:r w:rsidR="008B5CAD">
        <w:t>2 : on exclue de la monnaie scripturale la monnaie interbancaire.</w:t>
      </w:r>
    </w:p>
    <w:p w:rsidR="008B5CAD" w:rsidRDefault="008B5CAD" w:rsidP="00A24CD9">
      <w:pPr>
        <w:jc w:val="both"/>
      </w:pPr>
      <w:r>
        <w:t>Note3 : les comptes bancaires sont de deux types soit des comptes à vu utilisables à n’importe quel moment qui sont eux même de deux types, les comptes chèque pour les personne physique s il est non rémunéré, et les comptes chèque courants ouverts pour les professionnels et les entreprises ce dernier peut être débiteur.  Et</w:t>
      </w:r>
      <w:r w:rsidR="0084492F">
        <w:t xml:space="preserve"> le</w:t>
      </w:r>
      <w:r>
        <w:t xml:space="preserve"> compte sur carnet là </w:t>
      </w:r>
      <w:r w:rsidR="0084492F">
        <w:t>on n’a</w:t>
      </w:r>
      <w:r>
        <w:t xml:space="preserve"> pas droit au carnet de chèque et le compte est rémunéré.</w:t>
      </w:r>
      <w:r w:rsidR="0084492F">
        <w:t xml:space="preserve"> Le deuxième type c’est les comptes à terme, les comptes bloqués, pour  6 mois renouvelables et rémunéré.</w:t>
      </w:r>
    </w:p>
    <w:p w:rsidR="0084492F" w:rsidRDefault="0084492F" w:rsidP="00A24CD9">
      <w:pPr>
        <w:jc w:val="both"/>
      </w:pPr>
      <w:r>
        <w:t>La monnaie scripturale peut circuler par les instruments suivants :</w:t>
      </w:r>
    </w:p>
    <w:p w:rsidR="0084492F" w:rsidRDefault="0084492F" w:rsidP="0002021D">
      <w:pPr>
        <w:pStyle w:val="Paragraphedeliste"/>
        <w:numPr>
          <w:ilvl w:val="0"/>
          <w:numId w:val="10"/>
        </w:numPr>
        <w:jc w:val="both"/>
      </w:pPr>
      <w:r>
        <w:t>L’émission de chèque.</w:t>
      </w:r>
    </w:p>
    <w:p w:rsidR="0084492F" w:rsidRDefault="0084492F" w:rsidP="0002021D">
      <w:pPr>
        <w:pStyle w:val="Paragraphedeliste"/>
        <w:numPr>
          <w:ilvl w:val="0"/>
          <w:numId w:val="10"/>
        </w:numPr>
        <w:jc w:val="both"/>
      </w:pPr>
      <w:r>
        <w:t>Les ordres de virement.</w:t>
      </w:r>
    </w:p>
    <w:p w:rsidR="0084492F" w:rsidRDefault="0084492F" w:rsidP="0002021D">
      <w:pPr>
        <w:pStyle w:val="Paragraphedeliste"/>
        <w:numPr>
          <w:ilvl w:val="0"/>
          <w:numId w:val="10"/>
        </w:numPr>
        <w:jc w:val="both"/>
      </w:pPr>
      <w:r>
        <w:t>Les ordres de prélèvement.</w:t>
      </w:r>
    </w:p>
    <w:p w:rsidR="0084492F" w:rsidRDefault="0084492F" w:rsidP="0002021D">
      <w:pPr>
        <w:pStyle w:val="Paragraphedeliste"/>
        <w:numPr>
          <w:ilvl w:val="0"/>
          <w:numId w:val="10"/>
        </w:numPr>
        <w:jc w:val="both"/>
      </w:pPr>
      <w:r>
        <w:t>Les cartes monétaires (de retrait et carte de retrait et de payement).</w:t>
      </w:r>
    </w:p>
    <w:p w:rsidR="0084492F" w:rsidRDefault="0084492F" w:rsidP="0002021D">
      <w:pPr>
        <w:pStyle w:val="Paragraphedeliste"/>
        <w:numPr>
          <w:ilvl w:val="0"/>
          <w:numId w:val="10"/>
        </w:numPr>
        <w:jc w:val="both"/>
      </w:pPr>
      <w:r>
        <w:t>Les effets de commerce.</w:t>
      </w:r>
    </w:p>
    <w:p w:rsidR="0084492F" w:rsidRDefault="00A37DD1" w:rsidP="00A24CD9">
      <w:pPr>
        <w:jc w:val="both"/>
      </w:pPr>
      <w:r>
        <w:lastRenderedPageBreak/>
        <w:t xml:space="preserve">   La monnaie est la composante la plus importante des moyens de payement en circulation, et son développement dépend du développement du système bancaire, te aussi du taux de bancarisation    (le total des comptes sur la population) qui est au Maroc de 25%.</w:t>
      </w:r>
    </w:p>
    <w:p w:rsidR="00A37DD1" w:rsidRDefault="00A37DD1" w:rsidP="00A24CD9">
      <w:pPr>
        <w:jc w:val="both"/>
      </w:pPr>
      <w:r>
        <w:t xml:space="preserve">   La faiblesse de la bancarisation au Maroc peut être expliquée par les facteurs suivants :</w:t>
      </w:r>
    </w:p>
    <w:p w:rsidR="00A37DD1" w:rsidRDefault="00A37DD1" w:rsidP="0002021D">
      <w:pPr>
        <w:pStyle w:val="Paragraphedeliste"/>
        <w:numPr>
          <w:ilvl w:val="0"/>
          <w:numId w:val="11"/>
        </w:numPr>
        <w:jc w:val="both"/>
      </w:pPr>
      <w:r>
        <w:t>La jeunesse de la population.</w:t>
      </w:r>
    </w:p>
    <w:p w:rsidR="00A37DD1" w:rsidRDefault="00A37DD1" w:rsidP="0002021D">
      <w:pPr>
        <w:pStyle w:val="Paragraphedeliste"/>
        <w:numPr>
          <w:ilvl w:val="0"/>
          <w:numId w:val="11"/>
        </w:numPr>
        <w:jc w:val="both"/>
      </w:pPr>
      <w:r>
        <w:t>La faiblesse et l’instabilité du revenu.</w:t>
      </w:r>
    </w:p>
    <w:p w:rsidR="00A37DD1" w:rsidRDefault="00A37DD1" w:rsidP="0002021D">
      <w:pPr>
        <w:pStyle w:val="Paragraphedeliste"/>
        <w:numPr>
          <w:ilvl w:val="0"/>
          <w:numId w:val="11"/>
        </w:numPr>
        <w:jc w:val="both"/>
      </w:pPr>
      <w:r>
        <w:t>Le taux de l’analphabétisme.</w:t>
      </w:r>
    </w:p>
    <w:p w:rsidR="00A37DD1" w:rsidRDefault="00A37DD1" w:rsidP="0002021D">
      <w:pPr>
        <w:pStyle w:val="Paragraphedeliste"/>
        <w:numPr>
          <w:ilvl w:val="0"/>
          <w:numId w:val="11"/>
        </w:numPr>
        <w:jc w:val="both"/>
      </w:pPr>
      <w:r>
        <w:t>L’importance de la femme au foyer dans le totale de la population.</w:t>
      </w:r>
    </w:p>
    <w:p w:rsidR="00A37DD1" w:rsidRDefault="00A37DD1" w:rsidP="0002021D">
      <w:pPr>
        <w:pStyle w:val="Paragraphedeliste"/>
        <w:numPr>
          <w:ilvl w:val="0"/>
          <w:numId w:val="11"/>
        </w:numPr>
        <w:jc w:val="both"/>
      </w:pPr>
      <w:r>
        <w:t>L’importance du monde rural.</w:t>
      </w:r>
    </w:p>
    <w:p w:rsidR="00A37DD1" w:rsidRDefault="00A37DD1" w:rsidP="0002021D">
      <w:pPr>
        <w:pStyle w:val="Paragraphedeliste"/>
        <w:numPr>
          <w:ilvl w:val="0"/>
          <w:numId w:val="11"/>
        </w:numPr>
        <w:jc w:val="both"/>
      </w:pPr>
      <w:r>
        <w:t>L’importance du système informel.</w:t>
      </w:r>
    </w:p>
    <w:p w:rsidR="00BB44DB" w:rsidRDefault="00BB44DB" w:rsidP="00A24CD9">
      <w:pPr>
        <w:pStyle w:val="Paragraphedeliste"/>
        <w:jc w:val="both"/>
      </w:pPr>
    </w:p>
    <w:p w:rsidR="00A37DD1" w:rsidRDefault="00BB44DB" w:rsidP="0002021D">
      <w:pPr>
        <w:pStyle w:val="Paragraphedeliste"/>
        <w:numPr>
          <w:ilvl w:val="0"/>
          <w:numId w:val="8"/>
        </w:numPr>
        <w:jc w:val="both"/>
        <w:rPr>
          <w:color w:val="FF0000"/>
        </w:rPr>
      </w:pPr>
      <w:r w:rsidRPr="00BB44DB">
        <w:rPr>
          <w:color w:val="FF0000"/>
        </w:rPr>
        <w:t>Les agrégats monétaires</w:t>
      </w:r>
    </w:p>
    <w:p w:rsidR="00BB44DB" w:rsidRDefault="00BB44DB" w:rsidP="00A24CD9">
      <w:pPr>
        <w:ind w:left="360"/>
        <w:jc w:val="both"/>
      </w:pPr>
      <w:r>
        <w:t xml:space="preserve">   </w:t>
      </w:r>
      <w:r w:rsidRPr="00BB44DB">
        <w:t xml:space="preserve">L’agrégat est </w:t>
      </w:r>
      <w:r>
        <w:t>un indicateur statistique (calculer une quantité à un moment donné) synthétique (de l’ensemble) calculé sur une période donnée (généralement  semestrielle ou annuelle).</w:t>
      </w:r>
    </w:p>
    <w:p w:rsidR="00BB44DB" w:rsidRDefault="00BB44DB" w:rsidP="00A24CD9">
      <w:pPr>
        <w:ind w:left="360"/>
        <w:jc w:val="both"/>
      </w:pPr>
      <w:r>
        <w:t xml:space="preserve">   L’agrégat a deux objectifs :</w:t>
      </w:r>
    </w:p>
    <w:p w:rsidR="00BB44DB" w:rsidRDefault="004F1CA3" w:rsidP="0002021D">
      <w:pPr>
        <w:pStyle w:val="Paragraphedeliste"/>
        <w:numPr>
          <w:ilvl w:val="0"/>
          <w:numId w:val="12"/>
        </w:numPr>
        <w:jc w:val="both"/>
      </w:pPr>
      <w:r>
        <w:t>Quantification (calculer).</w:t>
      </w:r>
    </w:p>
    <w:p w:rsidR="004F1CA3" w:rsidRDefault="004F1CA3" w:rsidP="0002021D">
      <w:pPr>
        <w:pStyle w:val="Paragraphedeliste"/>
        <w:numPr>
          <w:ilvl w:val="0"/>
          <w:numId w:val="12"/>
        </w:numPr>
        <w:jc w:val="both"/>
      </w:pPr>
      <w:r>
        <w:t>Analyse des comportements monétaires et financiers à savoir :</w:t>
      </w:r>
    </w:p>
    <w:p w:rsidR="004F1CA3" w:rsidRDefault="004F1CA3" w:rsidP="0002021D">
      <w:pPr>
        <w:pStyle w:val="Paragraphedeliste"/>
        <w:numPr>
          <w:ilvl w:val="0"/>
          <w:numId w:val="13"/>
        </w:numPr>
        <w:jc w:val="both"/>
      </w:pPr>
      <w:r>
        <w:t>L’importance de la consommation des différents agents économique.</w:t>
      </w:r>
    </w:p>
    <w:p w:rsidR="004F1CA3" w:rsidRDefault="004F1CA3" w:rsidP="0002021D">
      <w:pPr>
        <w:pStyle w:val="Paragraphedeliste"/>
        <w:numPr>
          <w:ilvl w:val="0"/>
          <w:numId w:val="13"/>
        </w:numPr>
        <w:jc w:val="both"/>
      </w:pPr>
      <w:r>
        <w:t>La capacité de leur épargne.</w:t>
      </w:r>
    </w:p>
    <w:p w:rsidR="004F1CA3" w:rsidRDefault="004F1CA3" w:rsidP="0002021D">
      <w:pPr>
        <w:pStyle w:val="Paragraphedeliste"/>
        <w:numPr>
          <w:ilvl w:val="0"/>
          <w:numId w:val="13"/>
        </w:numPr>
        <w:jc w:val="both"/>
      </w:pPr>
      <w:r>
        <w:t>La capacité de leur endettement.</w:t>
      </w:r>
    </w:p>
    <w:p w:rsidR="004F1CA3" w:rsidRDefault="00B21CFD" w:rsidP="00A24CD9">
      <w:pPr>
        <w:jc w:val="both"/>
      </w:pPr>
      <w:r>
        <w:t xml:space="preserve">   </w:t>
      </w:r>
      <w:r w:rsidR="004F1CA3">
        <w:t>Les agrégats</w:t>
      </w:r>
      <w:r>
        <w:t xml:space="preserve"> monétaires sont de trois types, M1, M2, M3 ; ils sont constitués par intégration successive des produits monétaire c'est-à-dire (M1с M2) с M3.</w:t>
      </w:r>
    </w:p>
    <w:p w:rsidR="00B21CFD" w:rsidRDefault="00B21CFD" w:rsidP="00A24CD9">
      <w:pPr>
        <w:jc w:val="both"/>
      </w:pPr>
      <w:r>
        <w:t xml:space="preserve">  </w:t>
      </w:r>
      <w:r w:rsidRPr="00B21CFD">
        <w:rPr>
          <w:b/>
          <w:bCs/>
        </w:rPr>
        <w:t>M1</w:t>
      </w:r>
      <w:r>
        <w:t xml:space="preserve"> : c’est l’agrégat le plus liquide il est constitué de la monnaie fiduciaire </w:t>
      </w:r>
      <w:r w:rsidRPr="00387A40">
        <w:rPr>
          <w:color w:val="FF0000"/>
        </w:rPr>
        <w:t>+</w:t>
      </w:r>
      <w:r>
        <w:t xml:space="preserve"> la monnaie scripturale mobilisable par chèque. (M1</w:t>
      </w:r>
      <w:r w:rsidRPr="00387A40">
        <w:rPr>
          <w:color w:val="FF0000"/>
        </w:rPr>
        <w:t>=</w:t>
      </w:r>
      <w:r>
        <w:t>MF</w:t>
      </w:r>
      <w:r w:rsidRPr="00387A40">
        <w:rPr>
          <w:color w:val="FF0000"/>
        </w:rPr>
        <w:t>+</w:t>
      </w:r>
      <w:r>
        <w:t>MS mobilisable par chèque).</w:t>
      </w:r>
    </w:p>
    <w:p w:rsidR="00B21CFD" w:rsidRDefault="00B21CFD" w:rsidP="00A24CD9">
      <w:pPr>
        <w:jc w:val="both"/>
      </w:pPr>
      <w:r w:rsidRPr="00B21CFD">
        <w:rPr>
          <w:b/>
          <w:bCs/>
        </w:rPr>
        <w:t xml:space="preserve">   M2</w:t>
      </w:r>
      <w:r>
        <w:rPr>
          <w:b/>
          <w:bCs/>
        </w:rPr>
        <w:t> </w:t>
      </w:r>
      <w:r w:rsidRPr="00B21CFD">
        <w:rPr>
          <w:b/>
          <w:bCs/>
        </w:rPr>
        <w:t>:</w:t>
      </w:r>
      <w:r>
        <w:rPr>
          <w:b/>
          <w:bCs/>
        </w:rPr>
        <w:t xml:space="preserve"> </w:t>
      </w:r>
      <w:r w:rsidRPr="0096595F">
        <w:t>M1</w:t>
      </w:r>
      <w:r>
        <w:rPr>
          <w:b/>
          <w:bCs/>
        </w:rPr>
        <w:t xml:space="preserve"> </w:t>
      </w:r>
      <w:r w:rsidRPr="00387A40">
        <w:rPr>
          <w:color w:val="FF0000"/>
        </w:rPr>
        <w:t>+</w:t>
      </w:r>
      <w:r w:rsidRPr="0096595F">
        <w:t xml:space="preserve"> la monnaie scripturale non mobilisable par chèque.</w:t>
      </w:r>
    </w:p>
    <w:p w:rsidR="0096595F" w:rsidRDefault="0096595F" w:rsidP="00A24CD9">
      <w:pPr>
        <w:jc w:val="both"/>
      </w:pPr>
      <w:r>
        <w:t xml:space="preserve">   </w:t>
      </w:r>
      <w:r w:rsidRPr="0096595F">
        <w:rPr>
          <w:b/>
          <w:bCs/>
        </w:rPr>
        <w:t>M3</w:t>
      </w:r>
      <w:r>
        <w:t> : c’est la masse monétaire elle est constituée de  M2</w:t>
      </w:r>
      <w:r w:rsidRPr="00387A40">
        <w:rPr>
          <w:color w:val="FF0000"/>
        </w:rPr>
        <w:t>+</w:t>
      </w:r>
      <w:r>
        <w:t>les placements à terme.</w:t>
      </w:r>
    </w:p>
    <w:p w:rsidR="0022743D" w:rsidRDefault="00B10A41" w:rsidP="00A24CD9">
      <w:pPr>
        <w:jc w:val="both"/>
      </w:pPr>
      <w:r>
        <w:rPr>
          <w:noProof/>
          <w:lang w:eastAsia="fr-FR"/>
        </w:rPr>
        <w:pict>
          <v:shape id="_x0000_s1030" type="#_x0000_t32" style="position:absolute;left:0;text-align:left;margin-left:1.15pt;margin-top:4pt;width:20.25pt;height:0;z-index:251662336" o:connectortype="straight">
            <v:stroke endarrow="block"/>
          </v:shape>
        </w:pict>
      </w:r>
    </w:p>
    <w:p w:rsidR="0022743D" w:rsidRDefault="0022743D" w:rsidP="00A24CD9">
      <w:pPr>
        <w:jc w:val="both"/>
      </w:pPr>
      <w:r w:rsidRPr="0022743D">
        <w:rPr>
          <w:b/>
          <w:bCs/>
        </w:rPr>
        <w:t xml:space="preserve">   Les placements à terme</w:t>
      </w:r>
      <w:r>
        <w:rPr>
          <w:b/>
          <w:bCs/>
        </w:rPr>
        <w:t> :</w:t>
      </w:r>
      <w:r w:rsidRPr="0022743D">
        <w:rPr>
          <w:b/>
          <w:bCs/>
        </w:rPr>
        <w:t xml:space="preserve"> </w:t>
      </w:r>
      <w:r w:rsidRPr="0022743D">
        <w:t>sont </w:t>
      </w:r>
      <w:r>
        <w:t xml:space="preserve"> constitués des dépôts à terme (rémunérés) +</w:t>
      </w:r>
    </w:p>
    <w:p w:rsidR="0022743D" w:rsidRDefault="0022743D" w:rsidP="0002021D">
      <w:pPr>
        <w:pStyle w:val="Paragraphedeliste"/>
        <w:numPr>
          <w:ilvl w:val="0"/>
          <w:numId w:val="14"/>
        </w:numPr>
        <w:jc w:val="both"/>
      </w:pPr>
      <w:r w:rsidRPr="0022743D">
        <w:rPr>
          <w:u w:val="single"/>
        </w:rPr>
        <w:t>les bons de caisse</w:t>
      </w:r>
      <w:r>
        <w:t xml:space="preserve"> (titre de créance émis par les banques et souscrits par leurs clients à terme, ils donnent lieu à un intérêt, sont généralement nominatif, et ne sont pas négociable.</w:t>
      </w:r>
    </w:p>
    <w:p w:rsidR="0022743D" w:rsidRDefault="0022743D" w:rsidP="0002021D">
      <w:pPr>
        <w:pStyle w:val="Paragraphedeliste"/>
        <w:numPr>
          <w:ilvl w:val="0"/>
          <w:numId w:val="14"/>
        </w:numPr>
        <w:jc w:val="both"/>
      </w:pPr>
      <w:r w:rsidRPr="00387A40">
        <w:rPr>
          <w:u w:val="single"/>
        </w:rPr>
        <w:t>Le CD</w:t>
      </w:r>
      <w:r>
        <w:t> : le certificat de dépôt c’est un titre de créance négociable sur le marché monétaire.</w:t>
      </w:r>
    </w:p>
    <w:p w:rsidR="00387A40" w:rsidRDefault="00387A40" w:rsidP="00A24CD9">
      <w:pPr>
        <w:jc w:val="both"/>
      </w:pPr>
      <w:r>
        <w:t>NB : à ces agrégats monétaires les autorités monétaires ajoutent ce qu’on appelle les placements liquides (PL1 ; PL2 ; PL3 ; PL4), ce sont des placements qu’on peut transformer en liquidité, mais sont moins liquides que la masse monétaire.</w:t>
      </w:r>
    </w:p>
    <w:p w:rsidR="0022743D" w:rsidRDefault="00387A40" w:rsidP="00A24CD9">
      <w:pPr>
        <w:jc w:val="both"/>
      </w:pPr>
      <w:r>
        <w:lastRenderedPageBreak/>
        <w:t xml:space="preserve">   PL1 : bon de trésor</w:t>
      </w:r>
      <w:r w:rsidRPr="00387A40">
        <w:rPr>
          <w:color w:val="FF0000"/>
        </w:rPr>
        <w:t>+</w:t>
      </w:r>
      <w:r>
        <w:t>les titre</w:t>
      </w:r>
      <w:r w:rsidR="00B61DA5">
        <w:t>s</w:t>
      </w:r>
      <w:r>
        <w:t xml:space="preserve"> de créance </w:t>
      </w:r>
      <w:r w:rsidR="00B61DA5">
        <w:t>négociable (</w:t>
      </w:r>
      <w:r w:rsidR="0056175F">
        <w:t>billets de trésorerie</w:t>
      </w:r>
      <w:r w:rsidR="00B61DA5">
        <w:t> ; les bons de société de financement émis par les entreprises non financières industrielle et commerciales).</w:t>
      </w:r>
    </w:p>
    <w:p w:rsidR="00B61DA5" w:rsidRDefault="00B61DA5" w:rsidP="0002021D">
      <w:pPr>
        <w:pStyle w:val="Paragraphedeliste"/>
        <w:numPr>
          <w:ilvl w:val="0"/>
          <w:numId w:val="8"/>
        </w:numPr>
        <w:jc w:val="both"/>
        <w:rPr>
          <w:color w:val="FF0000"/>
        </w:rPr>
      </w:pPr>
      <w:r w:rsidRPr="00B61DA5">
        <w:rPr>
          <w:color w:val="FF0000"/>
        </w:rPr>
        <w:t>Les contreparties de la masse monétaire</w:t>
      </w:r>
    </w:p>
    <w:p w:rsidR="00B61DA5" w:rsidRDefault="00DC397F" w:rsidP="00A24CD9">
      <w:pPr>
        <w:jc w:val="both"/>
      </w:pPr>
      <w:r w:rsidRPr="00DC397F">
        <w:t xml:space="preserve">   Les contreparties de la </w:t>
      </w:r>
      <w:r>
        <w:t>ma</w:t>
      </w:r>
      <w:r w:rsidRPr="00DC397F">
        <w:t>sse monétaire</w:t>
      </w:r>
      <w:r>
        <w:t xml:space="preserve"> constituent les origines de la création de la monnaie ; et sont constitués des créances des agents bancaires sur les agents non bancaires.</w:t>
      </w:r>
    </w:p>
    <w:p w:rsidR="00DC397F" w:rsidRDefault="00DC397F" w:rsidP="00A24CD9">
      <w:pPr>
        <w:jc w:val="both"/>
      </w:pPr>
      <w:r>
        <w:t xml:space="preserve">   De ce fait pour qu’il ait création de la monnaie il faut deux types d’</w:t>
      </w:r>
      <w:r w:rsidR="003D759D">
        <w:t>agents :</w:t>
      </w:r>
    </w:p>
    <w:p w:rsidR="003D759D" w:rsidRDefault="003D759D" w:rsidP="0002021D">
      <w:pPr>
        <w:pStyle w:val="Paragraphedeliste"/>
        <w:numPr>
          <w:ilvl w:val="0"/>
          <w:numId w:val="15"/>
        </w:numPr>
        <w:jc w:val="both"/>
      </w:pPr>
      <w:r w:rsidRPr="003D759D">
        <w:rPr>
          <w:b/>
          <w:bCs/>
        </w:rPr>
        <w:t>Un agent bancaire</w:t>
      </w:r>
      <w:r>
        <w:t xml:space="preserve"> créateur de monnaie (banque commerciales, banque centrale, trésor public, mais ces deux derniers n’ont pas de rôle important dans la création de la monnaie).</w:t>
      </w:r>
    </w:p>
    <w:p w:rsidR="003D759D" w:rsidRDefault="003D759D" w:rsidP="0002021D">
      <w:pPr>
        <w:pStyle w:val="Paragraphedeliste"/>
        <w:numPr>
          <w:ilvl w:val="0"/>
          <w:numId w:val="15"/>
        </w:numPr>
        <w:jc w:val="both"/>
      </w:pPr>
      <w:r w:rsidRPr="009C1FCA">
        <w:rPr>
          <w:b/>
          <w:bCs/>
        </w:rPr>
        <w:t>Un agent non bancaire</w:t>
      </w:r>
      <w:r>
        <w:t> : les ménages (personne physique), les entreprises non bancaires, les collectivités locales ; les autres institutions ; et le trésor public.</w:t>
      </w:r>
    </w:p>
    <w:p w:rsidR="003D759D" w:rsidRDefault="003D759D" w:rsidP="00A24CD9">
      <w:pPr>
        <w:jc w:val="both"/>
      </w:pPr>
      <w:r>
        <w:t xml:space="preserve">   La création de la monnaie se fait toujours sous formes scripturale et en cas de besoin une partie </w:t>
      </w:r>
      <w:r w:rsidR="004E71B7">
        <w:t>de cette monnaie peut être transformé en monnaie fiduciaire.</w:t>
      </w:r>
    </w:p>
    <w:p w:rsidR="004E71B7" w:rsidRPr="00DC397F" w:rsidRDefault="004E71B7" w:rsidP="00A24CD9">
      <w:pPr>
        <w:jc w:val="both"/>
      </w:pPr>
      <w:r>
        <w:t xml:space="preserve">   Les banques commerciales sont les principaux créateurs de la monnaie mais elles ne créent pas la monnaie fiduciaire ils ne créent que la monnaie scripturales. C’est la banque centrale qui a le monopole de la création de la monnaie fiduciaire ; et très peu de monnaie scripturale. Le trésor lui crée très peut de monnaie scripturale au profit de l’état seulement. </w:t>
      </w:r>
    </w:p>
    <w:p w:rsidR="00BB44DB" w:rsidRPr="00BB44DB" w:rsidRDefault="00B10A41" w:rsidP="00A24CD9">
      <w:pPr>
        <w:jc w:val="both"/>
      </w:pPr>
      <w:r>
        <w:rPr>
          <w:noProof/>
          <w:lang w:eastAsia="fr-FR"/>
        </w:rPr>
        <w:pict>
          <v:shape id="_x0000_s1031" type="#_x0000_t32" style="position:absolute;left:0;text-align:left;margin-left:.4pt;margin-top:7.6pt;width:21pt;height:.05pt;z-index:251663360" o:connectortype="straight">
            <v:stroke endarrow="block"/>
          </v:shape>
        </w:pict>
      </w:r>
      <w:r w:rsidR="009C1FCA">
        <w:t xml:space="preserve">          L’origine de la monnaie c’est les créances.</w:t>
      </w:r>
    </w:p>
    <w:p w:rsidR="0084492F" w:rsidRDefault="009C1FCA" w:rsidP="00A24CD9">
      <w:pPr>
        <w:pStyle w:val="Paragraphedeliste"/>
        <w:jc w:val="both"/>
      </w:pPr>
      <w:r>
        <w:t xml:space="preserve">                 AB                                                                                                     ANB</w:t>
      </w:r>
    </w:p>
    <w:p w:rsidR="0084492F" w:rsidRPr="00AB2FCC" w:rsidRDefault="00B10A41" w:rsidP="00A24CD9">
      <w:pPr>
        <w:pStyle w:val="Paragraphedeliste"/>
        <w:jc w:val="both"/>
      </w:pPr>
      <w:r>
        <w:rPr>
          <w:noProof/>
          <w:lang w:eastAsia="fr-FR"/>
        </w:rPr>
        <w:pict>
          <v:shape id="_x0000_s1032" type="#_x0000_t32" style="position:absolute;left:0;text-align:left;margin-left:.4pt;margin-top:6.5pt;width:167.25pt;height:0;z-index:251664384" o:connectortype="straight"/>
        </w:pict>
      </w:r>
      <w:r>
        <w:rPr>
          <w:noProof/>
          <w:lang w:eastAsia="fr-FR"/>
        </w:rPr>
        <w:pict>
          <v:shape id="_x0000_s1033" type="#_x0000_t32" style="position:absolute;left:0;text-align:left;margin-left:85.15pt;margin-top:6.5pt;width:0;height:70.5pt;z-index:251665408" o:connectortype="straight"/>
        </w:pict>
      </w:r>
    </w:p>
    <w:p w:rsidR="00AB2FCC" w:rsidRDefault="009C1FCA" w:rsidP="00A24CD9">
      <w:pPr>
        <w:jc w:val="both"/>
      </w:pPr>
      <w:r>
        <w:t xml:space="preserve">Créance de AB sur     compte de l’ANB                                       </w:t>
      </w:r>
      <w:r w:rsidR="00763B3E">
        <w:t xml:space="preserve">  </w:t>
      </w:r>
      <w:r>
        <w:t>M1=MF+</w:t>
      </w:r>
      <w:r w:rsidR="00763B3E">
        <w:t>MS (</w:t>
      </w:r>
      <w:r>
        <w:t>mobilisable par chèque)</w:t>
      </w:r>
    </w:p>
    <w:p w:rsidR="00763B3E" w:rsidRDefault="009C1FCA" w:rsidP="00A24CD9">
      <w:pPr>
        <w:jc w:val="both"/>
      </w:pPr>
      <w:r>
        <w:t>ANB  +100                   de 370</w:t>
      </w:r>
      <w:r w:rsidR="00763B3E">
        <w:t xml:space="preserve"> (solde1)                                 à T1 : M1=250+370=620</w:t>
      </w:r>
    </w:p>
    <w:p w:rsidR="00763B3E" w:rsidRDefault="00763B3E" w:rsidP="00A24CD9">
      <w:pPr>
        <w:jc w:val="both"/>
      </w:pPr>
      <w:r>
        <w:t xml:space="preserve">                                        +</w:t>
      </w:r>
      <w:r w:rsidRPr="00763B3E">
        <w:rPr>
          <w:color w:val="FF0000"/>
        </w:rPr>
        <w:t>100</w:t>
      </w:r>
      <w:r>
        <w:t>=470 (solde2)                         à T2 :M2=250+370+</w:t>
      </w:r>
      <w:r w:rsidRPr="00763B3E">
        <w:rPr>
          <w:color w:val="FF0000"/>
        </w:rPr>
        <w:t>100</w:t>
      </w:r>
      <w:r>
        <w:t xml:space="preserve">=720    </w:t>
      </w:r>
    </w:p>
    <w:p w:rsidR="009C1FCA" w:rsidRDefault="00763B3E" w:rsidP="00A24CD9">
      <w:pPr>
        <w:jc w:val="both"/>
      </w:pPr>
      <w:r>
        <w:t xml:space="preserve">A T3 retrait par l’ANB de </w:t>
      </w:r>
      <w:r w:rsidRPr="00763B3E">
        <w:rPr>
          <w:color w:val="00B050"/>
        </w:rPr>
        <w:t>300</w:t>
      </w:r>
      <w:r>
        <w:t xml:space="preserve"> DH                                        à T3 : M3= 250+</w:t>
      </w:r>
      <w:r w:rsidRPr="00763B3E">
        <w:rPr>
          <w:color w:val="00B050"/>
        </w:rPr>
        <w:t>300</w:t>
      </w:r>
      <w:r>
        <w:t>+170=720</w:t>
      </w:r>
    </w:p>
    <w:p w:rsidR="00763B3E" w:rsidRPr="00763B3E" w:rsidRDefault="00763B3E" w:rsidP="00A24CD9">
      <w:pPr>
        <w:jc w:val="both"/>
      </w:pPr>
      <w:r>
        <w:t>A T4 dépôt de l’ANB de</w:t>
      </w:r>
      <w:r w:rsidRPr="00763B3E">
        <w:rPr>
          <w:color w:val="548DD4" w:themeColor="text2" w:themeTint="99"/>
        </w:rPr>
        <w:t xml:space="preserve"> 200</w:t>
      </w:r>
      <w:r>
        <w:rPr>
          <w:color w:val="548DD4" w:themeColor="text2" w:themeTint="99"/>
        </w:rPr>
        <w:t xml:space="preserve"> </w:t>
      </w:r>
      <w:r>
        <w:t xml:space="preserve">DH                                          à T4 : M4= </w:t>
      </w:r>
      <w:r w:rsidR="00B77727">
        <w:t>350+</w:t>
      </w:r>
      <w:r w:rsidR="00B77727" w:rsidRPr="00B77727">
        <w:rPr>
          <w:color w:val="548DD4" w:themeColor="text2" w:themeTint="99"/>
        </w:rPr>
        <w:t>200</w:t>
      </w:r>
      <w:r w:rsidR="00B77727">
        <w:t>+170=720</w:t>
      </w:r>
    </w:p>
    <w:p w:rsidR="00B96C4A" w:rsidRDefault="00B77727" w:rsidP="00A24CD9">
      <w:pPr>
        <w:jc w:val="both"/>
      </w:pPr>
      <w:r>
        <w:t>Lors  du retrait ou du dépôt par l’ANB chez l’AB  il n y a que transformation de la monnaie respectivement d’une monnaie scripturale à la monnaie fiduciaire ou le contraire.</w:t>
      </w:r>
    </w:p>
    <w:p w:rsidR="00B77727" w:rsidRDefault="00B77727" w:rsidP="00A24CD9">
      <w:pPr>
        <w:jc w:val="both"/>
      </w:pPr>
    </w:p>
    <w:p w:rsidR="00B77727" w:rsidRDefault="00B77727" w:rsidP="00A24CD9">
      <w:pPr>
        <w:jc w:val="both"/>
      </w:pPr>
    </w:p>
    <w:p w:rsidR="0056616A" w:rsidRDefault="0056616A" w:rsidP="00A24CD9">
      <w:pPr>
        <w:jc w:val="both"/>
      </w:pPr>
    </w:p>
    <w:p w:rsidR="0056616A" w:rsidRDefault="0056616A" w:rsidP="00A24CD9">
      <w:pPr>
        <w:jc w:val="both"/>
      </w:pPr>
    </w:p>
    <w:p w:rsidR="0056616A" w:rsidRDefault="0056616A" w:rsidP="00A24CD9">
      <w:pPr>
        <w:jc w:val="both"/>
      </w:pPr>
    </w:p>
    <w:p w:rsidR="00B77727" w:rsidRDefault="00B77727" w:rsidP="00A24CD9">
      <w:pPr>
        <w:jc w:val="both"/>
      </w:pPr>
      <w:r>
        <w:lastRenderedPageBreak/>
        <w:t xml:space="preserve">   Les contreparties de la création de la monnaie sont de deux types : Les créances internes et les créances externes.</w:t>
      </w:r>
    </w:p>
    <w:p w:rsidR="00B77727" w:rsidRDefault="00B77727" w:rsidP="00A24CD9">
      <w:pPr>
        <w:jc w:val="both"/>
      </w:pPr>
      <w:r w:rsidRPr="00B77727">
        <w:rPr>
          <w:b/>
          <w:bCs/>
        </w:rPr>
        <w:t xml:space="preserve">   Les créances internes</w:t>
      </w:r>
      <w:r>
        <w:t> : elles représentent les origines internes de la création de la monnaie elles sont de deux types : les créances sur l’économie et les créances sur le trésor public.</w:t>
      </w:r>
    </w:p>
    <w:p w:rsidR="00B77727" w:rsidRDefault="00B77727" w:rsidP="00A24CD9">
      <w:pPr>
        <w:jc w:val="both"/>
      </w:pPr>
      <w:r>
        <w:t xml:space="preserve">   </w:t>
      </w:r>
      <w:r w:rsidRPr="00B77727">
        <w:rPr>
          <w:i/>
          <w:iCs/>
          <w:u w:val="single"/>
        </w:rPr>
        <w:t>Les créances sur l’économie</w:t>
      </w:r>
      <w:r>
        <w:rPr>
          <w:i/>
          <w:iCs/>
        </w:rPr>
        <w:t xml:space="preserve"> : </w:t>
      </w:r>
      <w:r>
        <w:t xml:space="preserve">elle représente les crédits monétaires (les crédits financés par la création de la monnaie) accordés par les banques aux ménages et entreprises. Les </w:t>
      </w:r>
      <w:r w:rsidR="0066651F">
        <w:t>crédits constituent la principale source de la création de la monnaie.</w:t>
      </w:r>
    </w:p>
    <w:p w:rsidR="0066651F" w:rsidRDefault="0066651F" w:rsidP="00A24CD9">
      <w:pPr>
        <w:jc w:val="both"/>
      </w:pPr>
      <w:r>
        <w:t xml:space="preserve">   </w:t>
      </w:r>
      <w:r w:rsidRPr="0066651F">
        <w:rPr>
          <w:i/>
          <w:iCs/>
          <w:u w:val="single"/>
        </w:rPr>
        <w:t>Les créances sur le trésor public</w:t>
      </w:r>
      <w:r>
        <w:rPr>
          <w:i/>
          <w:iCs/>
          <w:u w:val="single"/>
        </w:rPr>
        <w:t> </w:t>
      </w:r>
      <w:r>
        <w:t>: elle représente le financement monétaire du trésor public par les banques commerciales, et par la banque centrale. Les banques financent le trésor public par l’acquisition des titres publics (bons de trésor) dans ce cas le trésor public est un agent non bancaire.</w:t>
      </w:r>
    </w:p>
    <w:p w:rsidR="004100A0" w:rsidRDefault="004100A0" w:rsidP="00A24CD9">
      <w:pPr>
        <w:jc w:val="both"/>
      </w:pPr>
      <w:r w:rsidRPr="004100A0">
        <w:rPr>
          <w:u w:val="single"/>
        </w:rPr>
        <w:t>N.B</w:t>
      </w:r>
      <w:r>
        <w:t> : avant 2005 le financement du trésor public se faisait par la banque centrale par des avances statuaires, (1 / fiscales de l’année précédente avec un taux d’intérêt de 0%), et des avances conventionnelles. Après 2005 plus d’avances statuaires, le trésor public est désormais considéré comme tout agent économique.</w:t>
      </w:r>
    </w:p>
    <w:p w:rsidR="004100A0" w:rsidRDefault="004100A0" w:rsidP="00A24CD9">
      <w:pPr>
        <w:jc w:val="both"/>
      </w:pPr>
      <w:r>
        <w:t xml:space="preserve">   Les créances sur le trésor public sont</w:t>
      </w:r>
      <w:r w:rsidR="000D27DC">
        <w:t xml:space="preserve"> classées comme la </w:t>
      </w:r>
      <w:r>
        <w:t xml:space="preserve"> troi</w:t>
      </w:r>
      <w:r w:rsidR="000D27DC">
        <w:t>sième contrepartie de la création de la monnaie nationale.</w:t>
      </w:r>
    </w:p>
    <w:p w:rsidR="000D27DC" w:rsidRDefault="000D27DC" w:rsidP="00A24CD9">
      <w:pPr>
        <w:jc w:val="both"/>
      </w:pPr>
      <w:r w:rsidRPr="000D27DC">
        <w:rPr>
          <w:b/>
          <w:bCs/>
        </w:rPr>
        <w:t xml:space="preserve">   Les créances externes :</w:t>
      </w:r>
      <w:r>
        <w:t xml:space="preserve"> elles sont constituées des créances des agents bancaires nationaux sur le reste du monde (les agents extérieurs). Ces créances peuvent être évaluées par les avoirs extérieurs nets : le solde de ces avoirs = l</w:t>
      </w:r>
      <w:r w:rsidR="00AC6D27">
        <w:t>es créances des AB</w:t>
      </w:r>
      <w:r>
        <w:t xml:space="preserve"> nationaux sur le reste du monde </w:t>
      </w:r>
      <w:r w:rsidR="00AC6D27">
        <w:t>– engagements des AB nationaux vis à vis du reste du monde.</w:t>
      </w:r>
    </w:p>
    <w:p w:rsidR="00AC6D27" w:rsidRDefault="00B10A41" w:rsidP="00A24CD9">
      <w:pPr>
        <w:jc w:val="both"/>
      </w:pPr>
      <w:r>
        <w:rPr>
          <w:noProof/>
          <w:lang w:eastAsia="fr-FR"/>
        </w:rPr>
        <w:pict>
          <v:shape id="_x0000_s1034" type="#_x0000_t32" style="position:absolute;left:0;text-align:left;margin-left:1.9pt;margin-top:12.3pt;width:19.5pt;height:0;z-index:251666432" o:connectortype="straight">
            <v:stroke endarrow="block"/>
          </v:shape>
        </w:pict>
      </w:r>
      <w:r w:rsidR="00AC6D27">
        <w:t xml:space="preserve">           Si solde est positif c’est à dire  créances supérieurs aux engagements cela veut dire qu’il y a entrée de la devise, qui doit être changé en monnaie nationale pour être utilisé à l’intérieur des frontières, donc il y a création de la monnaie (</w:t>
      </w:r>
      <w:r w:rsidR="00BE7B0A">
        <w:t>Ce</w:t>
      </w:r>
      <w:r w:rsidR="00AC6D27">
        <w:t xml:space="preserve"> change Doit se faire par une banque commerciale</w:t>
      </w:r>
      <w:r w:rsidR="00BE7B0A">
        <w:t>)</w:t>
      </w:r>
      <w:r w:rsidR="00AC6D27">
        <w:t>.</w:t>
      </w:r>
    </w:p>
    <w:p w:rsidR="00AC6D27" w:rsidRPr="0066651F" w:rsidRDefault="00AC6D27" w:rsidP="00A24CD9">
      <w:pPr>
        <w:jc w:val="both"/>
      </w:pPr>
    </w:p>
    <w:p w:rsidR="00AC6D27" w:rsidRDefault="00BE7B0A" w:rsidP="00A24CD9">
      <w:pPr>
        <w:jc w:val="both"/>
      </w:pPr>
      <w:r>
        <w:t xml:space="preserve">                                   AB                                                                                                      ANB</w:t>
      </w:r>
    </w:p>
    <w:p w:rsidR="000D27DC" w:rsidRDefault="00B10A41" w:rsidP="00A24CD9">
      <w:pPr>
        <w:jc w:val="both"/>
      </w:pPr>
      <w:r>
        <w:rPr>
          <w:noProof/>
          <w:lang w:eastAsia="fr-FR"/>
        </w:rPr>
        <w:pict>
          <v:shape id="_x0000_s1038" type="#_x0000_t32" style="position:absolute;left:0;text-align:left;margin-left:363.4pt;margin-top:1.85pt;width:1.5pt;height:81.75pt;z-index:251670528" o:connectortype="straight"/>
        </w:pict>
      </w:r>
      <w:r>
        <w:rPr>
          <w:noProof/>
          <w:lang w:eastAsia="fr-FR"/>
        </w:rPr>
        <w:pict>
          <v:shape id="_x0000_s1037" type="#_x0000_t32" style="position:absolute;left:0;text-align:left;margin-left:285.4pt;margin-top:1.85pt;width:160.5pt;height:0;z-index:251669504" o:connectortype="straight"/>
        </w:pict>
      </w:r>
      <w:r>
        <w:rPr>
          <w:noProof/>
          <w:lang w:eastAsia="fr-FR"/>
        </w:rPr>
        <w:pict>
          <v:shape id="_x0000_s1036" type="#_x0000_t32" style="position:absolute;left:0;text-align:left;margin-left:89.65pt;margin-top:1.85pt;width:.75pt;height:81.75pt;flip:x;z-index:251668480" o:connectortype="straight"/>
        </w:pict>
      </w:r>
      <w:r>
        <w:rPr>
          <w:noProof/>
          <w:lang w:eastAsia="fr-FR"/>
        </w:rPr>
        <w:pict>
          <v:shape id="_x0000_s1035" type="#_x0000_t32" style="position:absolute;left:0;text-align:left;margin-left:5.65pt;margin-top:1.85pt;width:183pt;height:0;z-index:251667456" o:connectortype="straight"/>
        </w:pict>
      </w:r>
    </w:p>
    <w:p w:rsidR="00B77727" w:rsidRDefault="00BE7B0A" w:rsidP="00A24CD9">
      <w:pPr>
        <w:jc w:val="both"/>
      </w:pPr>
      <w:r>
        <w:t>Stock de devise            compte de l’ANB                                                                                    1000 €</w:t>
      </w:r>
    </w:p>
    <w:p w:rsidR="00BE7B0A" w:rsidRPr="00763B3E" w:rsidRDefault="00B10A41" w:rsidP="00A24CD9">
      <w:pPr>
        <w:jc w:val="both"/>
      </w:pPr>
      <w:r>
        <w:rPr>
          <w:noProof/>
          <w:lang w:eastAsia="fr-FR"/>
        </w:rPr>
        <w:pict>
          <v:shape id="_x0000_s1039" type="#_x0000_t32" style="position:absolute;left:0;text-align:left;margin-left:383.65pt;margin-top:16.25pt;width:33pt;height:0;z-index:251671552" o:connectortype="straight"/>
        </w:pict>
      </w:r>
      <w:r w:rsidR="00BE7B0A">
        <w:t>+500 €                           +500 € × 11 (taux de change)                                                              - 500</w:t>
      </w:r>
    </w:p>
    <w:p w:rsidR="00D83658" w:rsidRDefault="00BE7B0A" w:rsidP="00A24CD9">
      <w:pPr>
        <w:jc w:val="both"/>
      </w:pPr>
      <w:r>
        <w:t xml:space="preserve">                                        = 5500 dh</w:t>
      </w:r>
      <w:r w:rsidR="008B2078">
        <w:t xml:space="preserve">                                                                                                  500 €</w:t>
      </w:r>
    </w:p>
    <w:p w:rsidR="00B96C4A" w:rsidRDefault="00D83658" w:rsidP="00A24CD9">
      <w:pPr>
        <w:jc w:val="both"/>
      </w:pPr>
      <w:r>
        <w:t>Création de la monnaie en cas de change.</w:t>
      </w:r>
    </w:p>
    <w:p w:rsidR="00D83658" w:rsidRDefault="00D83658" w:rsidP="00A24CD9">
      <w:pPr>
        <w:jc w:val="both"/>
      </w:pPr>
      <w:r>
        <w:t xml:space="preserve">                                                                                                                                                                                                  </w:t>
      </w:r>
    </w:p>
    <w:p w:rsidR="00AD438A" w:rsidRDefault="00B10A41" w:rsidP="00A24CD9">
      <w:pPr>
        <w:jc w:val="both"/>
      </w:pPr>
      <w:r>
        <w:rPr>
          <w:noProof/>
          <w:lang w:eastAsia="fr-FR"/>
        </w:rPr>
        <w:pict>
          <v:shape id="_x0000_s1044" type="#_x0000_t32" style="position:absolute;left:0;text-align:left;margin-left:1.9pt;margin-top:11.95pt;width:19.5pt;height:0;z-index:251672576" o:connectortype="straight">
            <v:stroke endarrow="block"/>
          </v:shape>
        </w:pict>
      </w:r>
      <w:r w:rsidR="00D83658">
        <w:t xml:space="preserve">          Si le solde est négatif, </w:t>
      </w:r>
      <w:r w:rsidR="00AD438A">
        <w:t>il y a donc sortie de la devise (engagements supérieurs aux créances).</w:t>
      </w:r>
    </w:p>
    <w:p w:rsidR="0056616A" w:rsidRDefault="0056616A" w:rsidP="00A24CD9">
      <w:pPr>
        <w:jc w:val="both"/>
      </w:pPr>
    </w:p>
    <w:p w:rsidR="00AD438A" w:rsidRDefault="00B10A41" w:rsidP="00A24CD9">
      <w:pPr>
        <w:jc w:val="both"/>
      </w:pPr>
      <w:r>
        <w:rPr>
          <w:noProof/>
          <w:lang w:eastAsia="fr-FR"/>
        </w:rPr>
        <w:lastRenderedPageBreak/>
        <w:pict>
          <v:shape id="_x0000_s1048" type="#_x0000_t32" style="position:absolute;left:0;text-align:left;margin-left:364.9pt;margin-top:22.6pt;width:.75pt;height:81.75pt;flip:x;z-index:251676672" o:connectortype="straight"/>
        </w:pict>
      </w:r>
      <w:r>
        <w:rPr>
          <w:noProof/>
          <w:lang w:eastAsia="fr-FR"/>
        </w:rPr>
        <w:pict>
          <v:shape id="_x0000_s1047" type="#_x0000_t32" style="position:absolute;left:0;text-align:left;margin-left:273.4pt;margin-top:22.6pt;width:183pt;height:0;z-index:251675648" o:connectortype="straight"/>
        </w:pict>
      </w:r>
      <w:r>
        <w:rPr>
          <w:noProof/>
          <w:lang w:eastAsia="fr-FR"/>
        </w:rPr>
        <w:pict>
          <v:shape id="_x0000_s1046" type="#_x0000_t32" style="position:absolute;left:0;text-align:left;margin-left:88.9pt;margin-top:22.6pt;width:.75pt;height:81.75pt;flip:x;z-index:251674624" o:connectortype="straight"/>
        </w:pict>
      </w:r>
      <w:r>
        <w:rPr>
          <w:noProof/>
          <w:lang w:eastAsia="fr-FR"/>
        </w:rPr>
        <w:pict>
          <v:shape id="_x0000_s1045" type="#_x0000_t32" style="position:absolute;left:0;text-align:left;margin-left:1.9pt;margin-top:22.6pt;width:183pt;height:0;z-index:251673600" o:connectortype="straight"/>
        </w:pict>
      </w:r>
      <w:r w:rsidR="00AD438A">
        <w:t xml:space="preserve">                                 AB                                                                                                          ANB</w:t>
      </w:r>
    </w:p>
    <w:p w:rsidR="00AD438A" w:rsidRDefault="00AD438A" w:rsidP="00A24CD9">
      <w:pPr>
        <w:jc w:val="both"/>
      </w:pPr>
      <w:r>
        <w:t>-500€                            ANB (importateur)                                                  100000</w:t>
      </w:r>
    </w:p>
    <w:p w:rsidR="00AD438A" w:rsidRDefault="00AD438A" w:rsidP="00A24CD9">
      <w:pPr>
        <w:jc w:val="both"/>
      </w:pPr>
      <w:r>
        <w:t xml:space="preserve">                                             10000                                                                   94500</w:t>
      </w:r>
    </w:p>
    <w:p w:rsidR="00AD438A" w:rsidRDefault="00AD438A" w:rsidP="00A24CD9">
      <w:pPr>
        <w:jc w:val="both"/>
      </w:pPr>
      <w:r>
        <w:t xml:space="preserve">                                             - 5500</w:t>
      </w:r>
      <w:r w:rsidR="0056616A">
        <w:t xml:space="preserve">                                                                   + 500€</w:t>
      </w:r>
    </w:p>
    <w:p w:rsidR="0056616A" w:rsidRDefault="0056616A" w:rsidP="00A24CD9">
      <w:pPr>
        <w:jc w:val="both"/>
      </w:pPr>
      <w:r>
        <w:t xml:space="preserve">                                         =  94500                                                                </w:t>
      </w:r>
    </w:p>
    <w:p w:rsidR="0056616A" w:rsidRDefault="0056616A" w:rsidP="00A24CD9">
      <w:pPr>
        <w:jc w:val="both"/>
      </w:pPr>
      <w:r>
        <w:t>Cette contre partie constitue la deuxième origine de la création de la monnaie nationale.</w:t>
      </w:r>
    </w:p>
    <w:p w:rsidR="0056616A" w:rsidRDefault="0056616A" w:rsidP="00A24CD9">
      <w:pPr>
        <w:jc w:val="both"/>
      </w:pPr>
      <w:r>
        <w:t>N.B : l’importance de cette origine est influencée par :</w:t>
      </w:r>
    </w:p>
    <w:p w:rsidR="0056616A" w:rsidRDefault="0056616A" w:rsidP="0002021D">
      <w:pPr>
        <w:pStyle w:val="Paragraphedeliste"/>
        <w:numPr>
          <w:ilvl w:val="0"/>
          <w:numId w:val="16"/>
        </w:numPr>
        <w:jc w:val="both"/>
      </w:pPr>
      <w:r>
        <w:t>La situation de la balance commerciale (exportation, importation).</w:t>
      </w:r>
    </w:p>
    <w:p w:rsidR="0056616A" w:rsidRDefault="004E1E8A" w:rsidP="0002021D">
      <w:pPr>
        <w:pStyle w:val="Paragraphedeliste"/>
        <w:numPr>
          <w:ilvl w:val="0"/>
          <w:numId w:val="16"/>
        </w:numPr>
        <w:jc w:val="both"/>
      </w:pPr>
      <w:r>
        <w:t>L’importance des transferts des MRE.</w:t>
      </w:r>
    </w:p>
    <w:p w:rsidR="004E1E8A" w:rsidRDefault="004E1E8A" w:rsidP="0002021D">
      <w:pPr>
        <w:pStyle w:val="Paragraphedeliste"/>
        <w:numPr>
          <w:ilvl w:val="0"/>
          <w:numId w:val="16"/>
        </w:numPr>
        <w:jc w:val="both"/>
      </w:pPr>
      <w:r>
        <w:t>L’importance des  IDE.</w:t>
      </w:r>
    </w:p>
    <w:p w:rsidR="004E1E8A" w:rsidRDefault="004E1E8A" w:rsidP="0002021D">
      <w:pPr>
        <w:pStyle w:val="Paragraphedeliste"/>
        <w:numPr>
          <w:ilvl w:val="0"/>
          <w:numId w:val="16"/>
        </w:numPr>
        <w:jc w:val="both"/>
      </w:pPr>
      <w:r>
        <w:t>L’importance de la dette étrangère.</w:t>
      </w:r>
    </w:p>
    <w:p w:rsidR="004E1E8A" w:rsidRDefault="004E1E8A" w:rsidP="00A24CD9">
      <w:pPr>
        <w:jc w:val="both"/>
      </w:pPr>
    </w:p>
    <w:p w:rsidR="004E1E8A" w:rsidRDefault="004E1E8A" w:rsidP="00A24CD9">
      <w:pPr>
        <w:jc w:val="both"/>
      </w:pPr>
      <w:r>
        <w:t>Les limites de la création de la monnaie :</w:t>
      </w:r>
    </w:p>
    <w:p w:rsidR="004E1E8A" w:rsidRDefault="004E1E8A" w:rsidP="0002021D">
      <w:pPr>
        <w:pStyle w:val="Paragraphedeliste"/>
        <w:numPr>
          <w:ilvl w:val="0"/>
          <w:numId w:val="17"/>
        </w:numPr>
        <w:jc w:val="both"/>
      </w:pPr>
      <w:r>
        <w:t>1ERE l’inflation.</w:t>
      </w:r>
    </w:p>
    <w:p w:rsidR="004E1E8A" w:rsidRDefault="004E1E8A" w:rsidP="0002021D">
      <w:pPr>
        <w:pStyle w:val="Paragraphedeliste"/>
        <w:numPr>
          <w:ilvl w:val="0"/>
          <w:numId w:val="17"/>
        </w:numPr>
        <w:jc w:val="both"/>
      </w:pPr>
      <w:r>
        <w:t>2eme limite : il s’agit de la fuite en monnaie fiduciaire, dans ce cas c’est la transformation d’une partie de la monnaie scripturale (créée par les banques commerciales) en monnaie fiduciaire (créée par la banque centrale). (voire politique monétaire).</w:t>
      </w:r>
    </w:p>
    <w:p w:rsidR="004E1E8A" w:rsidRDefault="00AC1D28" w:rsidP="00A24CD9">
      <w:pPr>
        <w:ind w:left="360"/>
        <w:jc w:val="both"/>
      </w:pPr>
      <w:r>
        <w:t xml:space="preserve">   </w:t>
      </w:r>
      <w:r w:rsidR="004E1E8A">
        <w:t>Le refinancement des banques en monnaie fiduciaire ce fait actuellement sur le marché monétaire, c'est-à-dire par les mécanismes du march</w:t>
      </w:r>
      <w:r>
        <w:t>é (voir marché monétaire).</w:t>
      </w:r>
    </w:p>
    <w:p w:rsidR="00AC1D28" w:rsidRDefault="00AC1D28" w:rsidP="0002021D">
      <w:pPr>
        <w:pStyle w:val="Paragraphedeliste"/>
        <w:numPr>
          <w:ilvl w:val="0"/>
          <w:numId w:val="18"/>
        </w:numPr>
        <w:jc w:val="both"/>
      </w:pPr>
      <w:r>
        <w:t>3eme limite : il s’agit de la fuite d’une partie de la monnaie scripturale créée par les banques commerciales en une autre forme de monnaie scripturale créée par d’autre banque commerciale.</w:t>
      </w:r>
    </w:p>
    <w:p w:rsidR="00AC1D28" w:rsidRDefault="00B10A41" w:rsidP="00A24CD9">
      <w:pPr>
        <w:pStyle w:val="Paragraphedeliste"/>
        <w:ind w:left="786"/>
        <w:jc w:val="both"/>
      </w:pPr>
      <w:r>
        <w:rPr>
          <w:noProof/>
          <w:lang w:eastAsia="fr-FR"/>
        </w:rPr>
        <w:pict>
          <v:shape id="_x0000_s1049" type="#_x0000_t32" style="position:absolute;left:0;text-align:left;margin-left:37.9pt;margin-top:11.4pt;width:14.25pt;height:0;z-index:251677696" o:connectortype="straight">
            <v:stroke endarrow="block"/>
          </v:shape>
        </w:pict>
      </w:r>
      <w:r w:rsidR="00AC1D28">
        <w:t xml:space="preserve">      En cas de débit la banque centrale alimente le compte de la banque commerciale en contre partie d’un taux d’intérêt au prix du marché + 6 points (taux d’enfer).on parle ici de la </w:t>
      </w:r>
      <w:r w:rsidR="00123501">
        <w:t>“</w:t>
      </w:r>
      <w:r w:rsidR="00AC1D28">
        <w:t>compensation</w:t>
      </w:r>
      <w:r w:rsidR="00123501">
        <w:t>“</w:t>
      </w:r>
      <w:r w:rsidR="00AC1D28">
        <w:t>.</w:t>
      </w:r>
    </w:p>
    <w:p w:rsidR="004E1E8A" w:rsidRDefault="00123501" w:rsidP="00A24CD9">
      <w:pPr>
        <w:jc w:val="both"/>
      </w:pPr>
      <w:r>
        <w:t xml:space="preserve">         N.B : la compensation est faite par la banque centrale à la fin de chaque journée.</w:t>
      </w:r>
    </w:p>
    <w:p w:rsidR="00123501" w:rsidRDefault="00123501" w:rsidP="0002021D">
      <w:pPr>
        <w:pStyle w:val="Paragraphedeliste"/>
        <w:numPr>
          <w:ilvl w:val="0"/>
          <w:numId w:val="18"/>
        </w:numPr>
        <w:jc w:val="both"/>
      </w:pPr>
      <w:r>
        <w:t>4eme limite : l’importance de la demande de monnaie (soit pour consommer ou pour investir). Cette demande doit être solvable.</w:t>
      </w:r>
    </w:p>
    <w:p w:rsidR="00FC2EBE" w:rsidRDefault="00FC2EBE" w:rsidP="00A24CD9">
      <w:pPr>
        <w:jc w:val="both"/>
      </w:pPr>
      <w:r w:rsidRPr="00FC2EBE">
        <w:rPr>
          <w:u w:val="single"/>
        </w:rPr>
        <w:t>Travail à faire</w:t>
      </w:r>
      <w:r>
        <w:t> :</w:t>
      </w:r>
    </w:p>
    <w:p w:rsidR="00FC2EBE" w:rsidRDefault="00FC2EBE" w:rsidP="00A24CD9">
      <w:pPr>
        <w:jc w:val="both"/>
      </w:pPr>
      <w:r>
        <w:t>Etudier l’évolution des agrégats, et des quantités de la masse monétaire, entre 1987</w:t>
      </w:r>
      <w:r w:rsidR="00E7078A">
        <w:t xml:space="preserve"> et 2007en prenant en compte l’année 1987.</w:t>
      </w:r>
    </w:p>
    <w:p w:rsidR="00E7078A" w:rsidRDefault="00E7078A" w:rsidP="00A24CD9">
      <w:pPr>
        <w:jc w:val="both"/>
      </w:pPr>
      <w:r>
        <w:t xml:space="preserve">Taux de croissance annuel moyen = </w:t>
      </w:r>
      <m:oMath>
        <m:rad>
          <m:radPr>
            <m:ctrlPr>
              <w:rPr>
                <w:rFonts w:ascii="Cambria Math" w:hAnsi="Cambria Math"/>
                <w:i/>
              </w:rPr>
            </m:ctrlPr>
          </m:radPr>
          <m:deg>
            <m:r>
              <w:rPr>
                <w:rFonts w:ascii="Cambria Math" w:hAnsi="Cambria Math"/>
              </w:rPr>
              <m:t>10</m:t>
            </m:r>
          </m:deg>
          <m:e>
            <m:r>
              <w:rPr>
                <w:rFonts w:ascii="Cambria Math" w:hAnsi="Cambria Math"/>
              </w:rPr>
              <m:t>t1/t0</m:t>
            </m:r>
          </m:e>
        </m:rad>
      </m:oMath>
      <w:r>
        <w:t xml:space="preserve"> -1</w:t>
      </w:r>
    </w:p>
    <w:p w:rsidR="00E7078A" w:rsidRDefault="00E7078A" w:rsidP="00A24CD9">
      <w:pPr>
        <w:jc w:val="both"/>
      </w:pPr>
    </w:p>
    <w:tbl>
      <w:tblPr>
        <w:tblStyle w:val="Grilledutableau"/>
        <w:tblW w:w="0" w:type="auto"/>
        <w:tblLook w:val="04A0"/>
      </w:tblPr>
      <w:tblGrid>
        <w:gridCol w:w="1023"/>
        <w:gridCol w:w="1023"/>
        <w:gridCol w:w="1023"/>
        <w:gridCol w:w="1023"/>
        <w:gridCol w:w="1024"/>
        <w:gridCol w:w="1024"/>
        <w:gridCol w:w="1024"/>
        <w:gridCol w:w="1024"/>
        <w:gridCol w:w="1024"/>
      </w:tblGrid>
      <w:tr w:rsidR="00E306A0" w:rsidTr="00FF049D">
        <w:tc>
          <w:tcPr>
            <w:tcW w:w="1023"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48A54" w:themeFill="background2" w:themeFillShade="80"/>
          </w:tcPr>
          <w:p w:rsidR="00E306A0" w:rsidRDefault="00E306A0" w:rsidP="00A24CD9">
            <w:pPr>
              <w:jc w:val="both"/>
            </w:pPr>
          </w:p>
        </w:tc>
        <w:tc>
          <w:tcPr>
            <w:tcW w:w="1023"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48A54" w:themeFill="background2" w:themeFillShade="80"/>
          </w:tcPr>
          <w:p w:rsidR="00E306A0" w:rsidRDefault="00E306A0" w:rsidP="00A24CD9">
            <w:pPr>
              <w:jc w:val="both"/>
            </w:pPr>
            <w:r>
              <w:t>Montant en MD</w:t>
            </w:r>
          </w:p>
        </w:tc>
        <w:tc>
          <w:tcPr>
            <w:tcW w:w="1023"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48A54" w:themeFill="background2" w:themeFillShade="80"/>
          </w:tcPr>
          <w:p w:rsidR="00E306A0" w:rsidRDefault="00E306A0" w:rsidP="00A24CD9">
            <w:pPr>
              <w:jc w:val="both"/>
            </w:pPr>
            <w:r>
              <w:t>%</w:t>
            </w:r>
          </w:p>
        </w:tc>
        <w:tc>
          <w:tcPr>
            <w:tcW w:w="1023"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48A54" w:themeFill="background2" w:themeFillShade="80"/>
          </w:tcPr>
          <w:p w:rsidR="00E306A0" w:rsidRDefault="00E306A0" w:rsidP="00A24CD9">
            <w:pPr>
              <w:jc w:val="both"/>
            </w:pPr>
            <w:r>
              <w:t>Montant en MD</w:t>
            </w:r>
          </w:p>
        </w:tc>
        <w:tc>
          <w:tcPr>
            <w:tcW w:w="102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48A54" w:themeFill="background2" w:themeFillShade="80"/>
          </w:tcPr>
          <w:p w:rsidR="00E306A0" w:rsidRDefault="00E306A0" w:rsidP="00A24CD9">
            <w:pPr>
              <w:jc w:val="both"/>
            </w:pPr>
            <w:r>
              <w:t>%</w:t>
            </w:r>
          </w:p>
        </w:tc>
        <w:tc>
          <w:tcPr>
            <w:tcW w:w="102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48A54" w:themeFill="background2" w:themeFillShade="80"/>
          </w:tcPr>
          <w:p w:rsidR="00E306A0" w:rsidRDefault="00E306A0" w:rsidP="00A24CD9">
            <w:pPr>
              <w:jc w:val="both"/>
            </w:pPr>
            <w:r>
              <w:t>∆</w:t>
            </w:r>
          </w:p>
        </w:tc>
        <w:tc>
          <w:tcPr>
            <w:tcW w:w="102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48A54" w:themeFill="background2" w:themeFillShade="80"/>
          </w:tcPr>
          <w:p w:rsidR="00E306A0" w:rsidRDefault="00E306A0" w:rsidP="00A24CD9">
            <w:pPr>
              <w:jc w:val="both"/>
            </w:pPr>
            <w:r>
              <w:t>Montant en MD</w:t>
            </w:r>
          </w:p>
        </w:tc>
        <w:tc>
          <w:tcPr>
            <w:tcW w:w="102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48A54" w:themeFill="background2" w:themeFillShade="80"/>
          </w:tcPr>
          <w:p w:rsidR="00E306A0" w:rsidRDefault="00E306A0" w:rsidP="00A24CD9">
            <w:pPr>
              <w:jc w:val="both"/>
            </w:pPr>
            <w:r>
              <w:t>%</w:t>
            </w:r>
          </w:p>
        </w:tc>
        <w:tc>
          <w:tcPr>
            <w:tcW w:w="102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48A54" w:themeFill="background2" w:themeFillShade="80"/>
          </w:tcPr>
          <w:p w:rsidR="00E306A0" w:rsidRDefault="00E306A0" w:rsidP="00A24CD9">
            <w:pPr>
              <w:jc w:val="both"/>
            </w:pPr>
            <w:r>
              <w:t>∆</w:t>
            </w:r>
          </w:p>
        </w:tc>
      </w:tr>
      <w:tr w:rsidR="00E306A0" w:rsidTr="00FF049D">
        <w:tc>
          <w:tcPr>
            <w:tcW w:w="1023" w:type="dxa"/>
            <w:tcBorders>
              <w:top w:val="single" w:sz="4" w:space="0" w:color="95B3D7" w:themeColor="accent1" w:themeTint="99"/>
            </w:tcBorders>
            <w:shd w:val="pct12" w:color="auto" w:fill="auto"/>
          </w:tcPr>
          <w:p w:rsidR="00E306A0" w:rsidRDefault="00E306A0" w:rsidP="00A24CD9">
            <w:pPr>
              <w:jc w:val="both"/>
            </w:pPr>
            <w:r>
              <w:t>MF</w:t>
            </w:r>
          </w:p>
        </w:tc>
        <w:tc>
          <w:tcPr>
            <w:tcW w:w="1023" w:type="dxa"/>
            <w:tcBorders>
              <w:top w:val="single" w:sz="4" w:space="0" w:color="95B3D7" w:themeColor="accent1" w:themeTint="99"/>
            </w:tcBorders>
          </w:tcPr>
          <w:p w:rsidR="00E306A0" w:rsidRDefault="00E306A0" w:rsidP="00A24CD9">
            <w:pPr>
              <w:jc w:val="both"/>
            </w:pPr>
            <w:r>
              <w:t>20 003</w:t>
            </w:r>
          </w:p>
        </w:tc>
        <w:tc>
          <w:tcPr>
            <w:tcW w:w="1023" w:type="dxa"/>
            <w:tcBorders>
              <w:top w:val="single" w:sz="4" w:space="0" w:color="95B3D7" w:themeColor="accent1" w:themeTint="99"/>
            </w:tcBorders>
          </w:tcPr>
          <w:p w:rsidR="00E306A0" w:rsidRDefault="00E306A0" w:rsidP="00A24CD9">
            <w:pPr>
              <w:jc w:val="both"/>
            </w:pPr>
            <w:r>
              <w:t>25 ,95</w:t>
            </w:r>
          </w:p>
        </w:tc>
        <w:tc>
          <w:tcPr>
            <w:tcW w:w="1023" w:type="dxa"/>
            <w:tcBorders>
              <w:top w:val="single" w:sz="4" w:space="0" w:color="95B3D7" w:themeColor="accent1" w:themeTint="99"/>
            </w:tcBorders>
          </w:tcPr>
          <w:p w:rsidR="00E306A0" w:rsidRDefault="00E306A0" w:rsidP="00A24CD9">
            <w:pPr>
              <w:jc w:val="both"/>
            </w:pPr>
            <w:r>
              <w:t>48 662</w:t>
            </w:r>
          </w:p>
        </w:tc>
        <w:tc>
          <w:tcPr>
            <w:tcW w:w="1024" w:type="dxa"/>
            <w:tcBorders>
              <w:top w:val="single" w:sz="4" w:space="0" w:color="95B3D7" w:themeColor="accent1" w:themeTint="99"/>
            </w:tcBorders>
          </w:tcPr>
          <w:p w:rsidR="00E306A0" w:rsidRDefault="00E306A0" w:rsidP="00A24CD9">
            <w:pPr>
              <w:jc w:val="both"/>
            </w:pPr>
            <w:r>
              <w:t>21 ,06</w:t>
            </w:r>
          </w:p>
        </w:tc>
        <w:tc>
          <w:tcPr>
            <w:tcW w:w="1024" w:type="dxa"/>
            <w:tcBorders>
              <w:top w:val="single" w:sz="4" w:space="0" w:color="95B3D7" w:themeColor="accent1" w:themeTint="99"/>
            </w:tcBorders>
          </w:tcPr>
          <w:p w:rsidR="00E306A0" w:rsidRDefault="00E306A0" w:rsidP="00A24CD9">
            <w:pPr>
              <w:jc w:val="both"/>
            </w:pPr>
            <w:r>
              <w:t>9,29</w:t>
            </w:r>
          </w:p>
        </w:tc>
        <w:tc>
          <w:tcPr>
            <w:tcW w:w="1024" w:type="dxa"/>
            <w:tcBorders>
              <w:top w:val="single" w:sz="4" w:space="0" w:color="95B3D7" w:themeColor="accent1" w:themeTint="99"/>
            </w:tcBorders>
          </w:tcPr>
          <w:p w:rsidR="00E306A0" w:rsidRDefault="00E306A0" w:rsidP="00A24CD9">
            <w:pPr>
              <w:jc w:val="both"/>
            </w:pPr>
            <w:r>
              <w:t>119 839</w:t>
            </w:r>
          </w:p>
        </w:tc>
        <w:tc>
          <w:tcPr>
            <w:tcW w:w="1024" w:type="dxa"/>
            <w:tcBorders>
              <w:top w:val="single" w:sz="4" w:space="0" w:color="95B3D7" w:themeColor="accent1" w:themeTint="99"/>
            </w:tcBorders>
          </w:tcPr>
          <w:p w:rsidR="00E306A0" w:rsidRDefault="00E306A0" w:rsidP="00A24CD9">
            <w:pPr>
              <w:jc w:val="both"/>
            </w:pPr>
            <w:r>
              <w:t>18 ,58</w:t>
            </w:r>
          </w:p>
        </w:tc>
        <w:tc>
          <w:tcPr>
            <w:tcW w:w="1024" w:type="dxa"/>
            <w:tcBorders>
              <w:top w:val="single" w:sz="4" w:space="0" w:color="95B3D7" w:themeColor="accent1" w:themeTint="99"/>
            </w:tcBorders>
          </w:tcPr>
          <w:p w:rsidR="00E306A0" w:rsidRDefault="00E306A0" w:rsidP="00A24CD9">
            <w:pPr>
              <w:jc w:val="both"/>
            </w:pPr>
            <w:r>
              <w:t>9,43</w:t>
            </w:r>
          </w:p>
        </w:tc>
      </w:tr>
      <w:tr w:rsidR="00E306A0" w:rsidTr="00FF049D">
        <w:tc>
          <w:tcPr>
            <w:tcW w:w="1023" w:type="dxa"/>
            <w:shd w:val="pct12" w:color="auto" w:fill="auto"/>
          </w:tcPr>
          <w:p w:rsidR="00E306A0" w:rsidRDefault="00E306A0" w:rsidP="00A24CD9">
            <w:pPr>
              <w:jc w:val="both"/>
            </w:pPr>
            <w:r>
              <w:t>MS</w:t>
            </w:r>
          </w:p>
        </w:tc>
        <w:tc>
          <w:tcPr>
            <w:tcW w:w="1023" w:type="dxa"/>
          </w:tcPr>
          <w:p w:rsidR="00E306A0" w:rsidRDefault="00E306A0" w:rsidP="00A24CD9">
            <w:pPr>
              <w:jc w:val="both"/>
            </w:pPr>
            <w:r>
              <w:t>34 718</w:t>
            </w:r>
          </w:p>
        </w:tc>
        <w:tc>
          <w:tcPr>
            <w:tcW w:w="1023" w:type="dxa"/>
          </w:tcPr>
          <w:p w:rsidR="00E306A0" w:rsidRDefault="00E306A0" w:rsidP="00A24CD9">
            <w:pPr>
              <w:jc w:val="both"/>
            </w:pPr>
            <w:r>
              <w:t>45,03</w:t>
            </w:r>
          </w:p>
        </w:tc>
        <w:tc>
          <w:tcPr>
            <w:tcW w:w="1023" w:type="dxa"/>
          </w:tcPr>
          <w:p w:rsidR="00E306A0" w:rsidRDefault="00E306A0" w:rsidP="00A24CD9">
            <w:pPr>
              <w:jc w:val="both"/>
            </w:pPr>
            <w:r>
              <w:t>92 198</w:t>
            </w:r>
          </w:p>
        </w:tc>
        <w:tc>
          <w:tcPr>
            <w:tcW w:w="1024" w:type="dxa"/>
          </w:tcPr>
          <w:p w:rsidR="00E306A0" w:rsidRDefault="00E306A0" w:rsidP="00A24CD9">
            <w:pPr>
              <w:jc w:val="both"/>
            </w:pPr>
            <w:r>
              <w:t>39,91</w:t>
            </w:r>
          </w:p>
        </w:tc>
        <w:tc>
          <w:tcPr>
            <w:tcW w:w="1024" w:type="dxa"/>
          </w:tcPr>
          <w:p w:rsidR="00E306A0" w:rsidRDefault="00E306A0" w:rsidP="00A24CD9">
            <w:pPr>
              <w:jc w:val="both"/>
            </w:pPr>
            <w:r>
              <w:t>10 ,25</w:t>
            </w:r>
          </w:p>
        </w:tc>
        <w:tc>
          <w:tcPr>
            <w:tcW w:w="1024" w:type="dxa"/>
          </w:tcPr>
          <w:p w:rsidR="00E306A0" w:rsidRDefault="00E306A0" w:rsidP="00A24CD9">
            <w:pPr>
              <w:jc w:val="both"/>
            </w:pPr>
            <w:r>
              <w:t>327937</w:t>
            </w:r>
          </w:p>
        </w:tc>
        <w:tc>
          <w:tcPr>
            <w:tcW w:w="1024" w:type="dxa"/>
          </w:tcPr>
          <w:p w:rsidR="00E306A0" w:rsidRDefault="00E306A0" w:rsidP="00A24CD9">
            <w:pPr>
              <w:jc w:val="both"/>
            </w:pPr>
            <w:r>
              <w:t>50,87</w:t>
            </w:r>
          </w:p>
        </w:tc>
        <w:tc>
          <w:tcPr>
            <w:tcW w:w="1024" w:type="dxa"/>
          </w:tcPr>
          <w:p w:rsidR="00E306A0" w:rsidRDefault="00E306A0" w:rsidP="00A24CD9">
            <w:pPr>
              <w:jc w:val="both"/>
            </w:pPr>
            <w:r>
              <w:t>13,53</w:t>
            </w:r>
          </w:p>
        </w:tc>
      </w:tr>
      <w:tr w:rsidR="00E306A0" w:rsidTr="00FF049D">
        <w:tc>
          <w:tcPr>
            <w:tcW w:w="1023" w:type="dxa"/>
            <w:shd w:val="pct12" w:color="auto" w:fill="auto"/>
          </w:tcPr>
          <w:p w:rsidR="00E306A0" w:rsidRDefault="00E306A0" w:rsidP="00A24CD9">
            <w:pPr>
              <w:jc w:val="both"/>
            </w:pPr>
            <w:r>
              <w:t>PAV</w:t>
            </w:r>
          </w:p>
        </w:tc>
        <w:tc>
          <w:tcPr>
            <w:tcW w:w="1023" w:type="dxa"/>
          </w:tcPr>
          <w:p w:rsidR="00E306A0" w:rsidRDefault="00E306A0" w:rsidP="00A24CD9">
            <w:pPr>
              <w:jc w:val="both"/>
            </w:pPr>
            <w:r>
              <w:t>5891</w:t>
            </w:r>
          </w:p>
        </w:tc>
        <w:tc>
          <w:tcPr>
            <w:tcW w:w="1023" w:type="dxa"/>
          </w:tcPr>
          <w:p w:rsidR="00E306A0" w:rsidRDefault="00E306A0" w:rsidP="00A24CD9">
            <w:pPr>
              <w:jc w:val="both"/>
            </w:pPr>
            <w:r>
              <w:t>7,64</w:t>
            </w:r>
          </w:p>
        </w:tc>
        <w:tc>
          <w:tcPr>
            <w:tcW w:w="1023" w:type="dxa"/>
          </w:tcPr>
          <w:p w:rsidR="00E306A0" w:rsidRDefault="00E306A0" w:rsidP="00A24CD9">
            <w:pPr>
              <w:jc w:val="both"/>
            </w:pPr>
            <w:r>
              <w:t>25 938</w:t>
            </w:r>
          </w:p>
        </w:tc>
        <w:tc>
          <w:tcPr>
            <w:tcW w:w="1024" w:type="dxa"/>
          </w:tcPr>
          <w:p w:rsidR="00E306A0" w:rsidRDefault="00E306A0" w:rsidP="00A24CD9">
            <w:pPr>
              <w:jc w:val="both"/>
            </w:pPr>
            <w:r>
              <w:t>11,24</w:t>
            </w:r>
          </w:p>
        </w:tc>
        <w:tc>
          <w:tcPr>
            <w:tcW w:w="1024" w:type="dxa"/>
          </w:tcPr>
          <w:p w:rsidR="00E306A0" w:rsidRDefault="00E306A0" w:rsidP="00A24CD9">
            <w:pPr>
              <w:jc w:val="both"/>
            </w:pPr>
            <w:r>
              <w:t>16</w:t>
            </w:r>
          </w:p>
        </w:tc>
        <w:tc>
          <w:tcPr>
            <w:tcW w:w="1024" w:type="dxa"/>
          </w:tcPr>
          <w:p w:rsidR="00E306A0" w:rsidRDefault="00E306A0" w:rsidP="00A24CD9">
            <w:pPr>
              <w:jc w:val="both"/>
            </w:pPr>
            <w:r>
              <w:t>71 750</w:t>
            </w:r>
          </w:p>
        </w:tc>
        <w:tc>
          <w:tcPr>
            <w:tcW w:w="1024" w:type="dxa"/>
          </w:tcPr>
          <w:p w:rsidR="00E306A0" w:rsidRDefault="00E306A0" w:rsidP="00A24CD9">
            <w:pPr>
              <w:jc w:val="both"/>
            </w:pPr>
            <w:r>
              <w:t>11 ,12</w:t>
            </w:r>
          </w:p>
        </w:tc>
        <w:tc>
          <w:tcPr>
            <w:tcW w:w="1024" w:type="dxa"/>
          </w:tcPr>
          <w:p w:rsidR="00E306A0" w:rsidRDefault="00E306A0" w:rsidP="00A24CD9">
            <w:pPr>
              <w:jc w:val="both"/>
            </w:pPr>
            <w:r>
              <w:t>10,69</w:t>
            </w:r>
          </w:p>
        </w:tc>
      </w:tr>
      <w:tr w:rsidR="00E306A0" w:rsidTr="00FF049D">
        <w:tc>
          <w:tcPr>
            <w:tcW w:w="1023" w:type="dxa"/>
            <w:shd w:val="pct12" w:color="auto" w:fill="auto"/>
          </w:tcPr>
          <w:p w:rsidR="00E306A0" w:rsidRDefault="00E306A0" w:rsidP="00A24CD9">
            <w:pPr>
              <w:jc w:val="both"/>
            </w:pPr>
            <w:r>
              <w:t>PAT</w:t>
            </w:r>
          </w:p>
        </w:tc>
        <w:tc>
          <w:tcPr>
            <w:tcW w:w="1023" w:type="dxa"/>
          </w:tcPr>
          <w:p w:rsidR="00E306A0" w:rsidRDefault="00BD3064" w:rsidP="00A24CD9">
            <w:pPr>
              <w:jc w:val="both"/>
            </w:pPr>
            <w:r>
              <w:t>16 485</w:t>
            </w:r>
          </w:p>
        </w:tc>
        <w:tc>
          <w:tcPr>
            <w:tcW w:w="1023" w:type="dxa"/>
          </w:tcPr>
          <w:p w:rsidR="00E306A0" w:rsidRDefault="00BD3064" w:rsidP="00A24CD9">
            <w:pPr>
              <w:jc w:val="both"/>
            </w:pPr>
            <w:r>
              <w:t>21,38</w:t>
            </w:r>
          </w:p>
        </w:tc>
        <w:tc>
          <w:tcPr>
            <w:tcW w:w="1023" w:type="dxa"/>
          </w:tcPr>
          <w:p w:rsidR="00E306A0" w:rsidRDefault="00BD3064" w:rsidP="00A24CD9">
            <w:pPr>
              <w:jc w:val="both"/>
            </w:pPr>
            <w:r>
              <w:t>64 121</w:t>
            </w:r>
          </w:p>
        </w:tc>
        <w:tc>
          <w:tcPr>
            <w:tcW w:w="1024" w:type="dxa"/>
          </w:tcPr>
          <w:p w:rsidR="00E306A0" w:rsidRDefault="00BD3064" w:rsidP="00A24CD9">
            <w:pPr>
              <w:jc w:val="both"/>
            </w:pPr>
            <w:r>
              <w:t>27,76</w:t>
            </w:r>
          </w:p>
        </w:tc>
        <w:tc>
          <w:tcPr>
            <w:tcW w:w="1024" w:type="dxa"/>
          </w:tcPr>
          <w:p w:rsidR="00E306A0" w:rsidRDefault="00BD3064" w:rsidP="00A24CD9">
            <w:pPr>
              <w:jc w:val="both"/>
            </w:pPr>
            <w:r>
              <w:t>14,54</w:t>
            </w:r>
          </w:p>
        </w:tc>
        <w:tc>
          <w:tcPr>
            <w:tcW w:w="1024" w:type="dxa"/>
          </w:tcPr>
          <w:p w:rsidR="00E306A0" w:rsidRDefault="00BD3064" w:rsidP="00A24CD9">
            <w:pPr>
              <w:jc w:val="both"/>
            </w:pPr>
            <w:r>
              <w:t>125 130</w:t>
            </w:r>
          </w:p>
        </w:tc>
        <w:tc>
          <w:tcPr>
            <w:tcW w:w="1024" w:type="dxa"/>
          </w:tcPr>
          <w:p w:rsidR="00E306A0" w:rsidRDefault="00BD3064" w:rsidP="00A24CD9">
            <w:pPr>
              <w:jc w:val="both"/>
            </w:pPr>
            <w:r>
              <w:t>19,41</w:t>
            </w:r>
          </w:p>
        </w:tc>
        <w:tc>
          <w:tcPr>
            <w:tcW w:w="1024" w:type="dxa"/>
          </w:tcPr>
          <w:p w:rsidR="00E306A0" w:rsidRDefault="00BD3064" w:rsidP="00A24CD9">
            <w:pPr>
              <w:jc w:val="both"/>
            </w:pPr>
            <w:r>
              <w:t>6,91</w:t>
            </w:r>
          </w:p>
        </w:tc>
      </w:tr>
      <w:tr w:rsidR="00E306A0" w:rsidTr="00FF049D">
        <w:tc>
          <w:tcPr>
            <w:tcW w:w="1023" w:type="dxa"/>
            <w:shd w:val="pct12" w:color="auto" w:fill="auto"/>
          </w:tcPr>
          <w:p w:rsidR="00E306A0" w:rsidRDefault="00E306A0" w:rsidP="00A24CD9">
            <w:pPr>
              <w:jc w:val="both"/>
            </w:pPr>
            <w:r>
              <w:t>M3</w:t>
            </w:r>
          </w:p>
        </w:tc>
        <w:tc>
          <w:tcPr>
            <w:tcW w:w="1023" w:type="dxa"/>
          </w:tcPr>
          <w:p w:rsidR="00E306A0" w:rsidRDefault="00BD3064" w:rsidP="00A24CD9">
            <w:pPr>
              <w:jc w:val="both"/>
            </w:pPr>
            <w:r>
              <w:t>77 097</w:t>
            </w:r>
          </w:p>
        </w:tc>
        <w:tc>
          <w:tcPr>
            <w:tcW w:w="1023" w:type="dxa"/>
          </w:tcPr>
          <w:p w:rsidR="00E306A0" w:rsidRDefault="00BD3064" w:rsidP="00A24CD9">
            <w:pPr>
              <w:jc w:val="both"/>
            </w:pPr>
            <w:r>
              <w:t>100</w:t>
            </w:r>
          </w:p>
        </w:tc>
        <w:tc>
          <w:tcPr>
            <w:tcW w:w="1023" w:type="dxa"/>
          </w:tcPr>
          <w:p w:rsidR="00E306A0" w:rsidRDefault="00BD3064" w:rsidP="00A24CD9">
            <w:pPr>
              <w:jc w:val="both"/>
            </w:pPr>
            <w:r>
              <w:t>230964</w:t>
            </w:r>
          </w:p>
        </w:tc>
        <w:tc>
          <w:tcPr>
            <w:tcW w:w="1024" w:type="dxa"/>
          </w:tcPr>
          <w:p w:rsidR="00E306A0" w:rsidRDefault="00BD3064" w:rsidP="00A24CD9">
            <w:pPr>
              <w:jc w:val="both"/>
            </w:pPr>
            <w:r>
              <w:t>100</w:t>
            </w:r>
          </w:p>
        </w:tc>
        <w:tc>
          <w:tcPr>
            <w:tcW w:w="1024" w:type="dxa"/>
          </w:tcPr>
          <w:p w:rsidR="00E306A0" w:rsidRDefault="00BD3064" w:rsidP="00A24CD9">
            <w:pPr>
              <w:jc w:val="both"/>
            </w:pPr>
            <w:r>
              <w:t>11</w:t>
            </w:r>
          </w:p>
        </w:tc>
        <w:tc>
          <w:tcPr>
            <w:tcW w:w="1024" w:type="dxa"/>
          </w:tcPr>
          <w:p w:rsidR="00E306A0" w:rsidRDefault="00BD3064" w:rsidP="00A24CD9">
            <w:pPr>
              <w:jc w:val="both"/>
            </w:pPr>
            <w:r>
              <w:t>644 656</w:t>
            </w:r>
          </w:p>
        </w:tc>
        <w:tc>
          <w:tcPr>
            <w:tcW w:w="1024" w:type="dxa"/>
          </w:tcPr>
          <w:p w:rsidR="00E306A0" w:rsidRDefault="00BD3064" w:rsidP="00A24CD9">
            <w:pPr>
              <w:jc w:val="both"/>
            </w:pPr>
            <w:r>
              <w:t>100</w:t>
            </w:r>
          </w:p>
        </w:tc>
        <w:tc>
          <w:tcPr>
            <w:tcW w:w="1024" w:type="dxa"/>
          </w:tcPr>
          <w:p w:rsidR="00E306A0" w:rsidRDefault="00BD3064" w:rsidP="00A24CD9">
            <w:pPr>
              <w:jc w:val="both"/>
            </w:pPr>
            <w:r>
              <w:t>12</w:t>
            </w:r>
          </w:p>
        </w:tc>
      </w:tr>
    </w:tbl>
    <w:p w:rsidR="00D70ED4" w:rsidRDefault="00D70ED4" w:rsidP="00A24CD9">
      <w:pPr>
        <w:jc w:val="both"/>
      </w:pPr>
    </w:p>
    <w:p w:rsidR="00D70ED4" w:rsidRDefault="00D70ED4" w:rsidP="00A24CD9">
      <w:pPr>
        <w:jc w:val="both"/>
      </w:pPr>
      <w:r>
        <w:t>Remarque :</w:t>
      </w:r>
    </w:p>
    <w:p w:rsidR="00CD2566" w:rsidRDefault="00CD2566" w:rsidP="00A24CD9">
      <w:pPr>
        <w:jc w:val="both"/>
      </w:pPr>
      <w:r>
        <w:t>Le montant des agrégats monétaires (masse monétaire, et toutes ses composantes) sont toujours en augmentation dans le temps, et ne baisse jamais et ce à cause de l’augmentation de la demande (augmentation du nombre des ménages, et des entreprises)</w:t>
      </w:r>
    </w:p>
    <w:p w:rsidR="00CD2566" w:rsidRDefault="00CD2566" w:rsidP="00A24CD9">
      <w:pPr>
        <w:jc w:val="both"/>
        <w:rPr>
          <w:u w:val="single"/>
        </w:rPr>
      </w:pPr>
      <w:r w:rsidRPr="00410708">
        <w:rPr>
          <w:u w:val="single"/>
        </w:rPr>
        <w:t>1</w:t>
      </w:r>
      <w:r w:rsidRPr="00410708">
        <w:rPr>
          <w:u w:val="single"/>
          <w:vertAlign w:val="superscript"/>
        </w:rPr>
        <w:t>ere</w:t>
      </w:r>
      <w:r w:rsidRPr="00410708">
        <w:rPr>
          <w:u w:val="single"/>
        </w:rPr>
        <w:t xml:space="preserve"> étapes de l’analyse c’est la lecture</w:t>
      </w:r>
    </w:p>
    <w:p w:rsidR="00410708" w:rsidRDefault="00410708" w:rsidP="00A24CD9">
      <w:pPr>
        <w:jc w:val="both"/>
      </w:pPr>
      <w:r w:rsidRPr="009F4DB0">
        <w:t>La part la plus importante de la masse monétaire est la part de la MS</w:t>
      </w:r>
      <w:r w:rsidR="009F4DB0" w:rsidRPr="009F4DB0">
        <w:t>, qui est de 39,91 MD en 1997, et devient de plus en plus important en 2007 (50,87 MD)</w:t>
      </w:r>
      <w:r w:rsidR="009F4DB0">
        <w:t>.</w:t>
      </w:r>
    </w:p>
    <w:p w:rsidR="009F4DB0" w:rsidRDefault="009F4DB0" w:rsidP="00A24CD9">
      <w:pPr>
        <w:jc w:val="both"/>
      </w:pPr>
      <w:r>
        <w:t>La masse monétaire évolue de 11% dans la première période, et de 12% dans la deuxième période</w:t>
      </w:r>
      <w:r w:rsidR="002618BD">
        <w:t>, et de 12% dans la deuxième période, dans ce nous avons la masse monétaire qui évolue plus vite que le PIB. Cette évolution de M</w:t>
      </w:r>
      <w:r w:rsidR="002618BD" w:rsidRPr="002618BD">
        <w:rPr>
          <w:vertAlign w:val="subscript"/>
        </w:rPr>
        <w:t>3</w:t>
      </w:r>
      <w:r w:rsidR="002618BD">
        <w:t xml:space="preserve"> </w:t>
      </w:r>
      <w:r w:rsidR="001A7465">
        <w:t>peut s’expliquer par l’évolution des composantes de la masse monétaire, et principalement par celle de la monnaie scripturale (en moyenne 50%, dépôts à vue et placement à vue 62% de la masse monétaire).</w:t>
      </w:r>
    </w:p>
    <w:p w:rsidR="001A7465" w:rsidRDefault="001A7465" w:rsidP="00A24CD9">
      <w:pPr>
        <w:jc w:val="both"/>
      </w:pPr>
      <w:r>
        <w:t>L’importance de la monnaie scripturale peut s’expliquée par plusieurs facteurs dont on peut citer :</w:t>
      </w:r>
    </w:p>
    <w:p w:rsidR="001A7465" w:rsidRDefault="001A7465" w:rsidP="0002021D">
      <w:pPr>
        <w:pStyle w:val="Paragraphedeliste"/>
        <w:numPr>
          <w:ilvl w:val="0"/>
          <w:numId w:val="19"/>
        </w:numPr>
        <w:jc w:val="both"/>
      </w:pPr>
      <w:r>
        <w:t>Le développement du système bancaire marocain, suite à la loi de 93, et celle de 2006, et cela a comme conséquence le développement de la bancarisation au Maroc.</w:t>
      </w:r>
    </w:p>
    <w:p w:rsidR="001A7465" w:rsidRDefault="003B308C" w:rsidP="00A24CD9">
      <w:pPr>
        <w:pStyle w:val="Paragraphedeliste"/>
        <w:jc w:val="both"/>
      </w:pPr>
      <w:r>
        <w:t>Le taux de bancarisation peut être calculé par les rapports suivant :</w:t>
      </w:r>
    </w:p>
    <w:p w:rsidR="003B308C" w:rsidRDefault="00B10A41" w:rsidP="00A24CD9">
      <w:pPr>
        <w:pStyle w:val="Paragraphedeliste"/>
        <w:jc w:val="both"/>
        <w:rPr>
          <w:rFonts w:eastAsiaTheme="minorEastAsia"/>
        </w:rPr>
      </w:pPr>
      <m:oMath>
        <m:f>
          <m:fPr>
            <m:ctrlPr>
              <w:rPr>
                <w:rFonts w:ascii="Cambria Math" w:hAnsi="Cambria Math"/>
                <w:color w:val="FF0000"/>
              </w:rPr>
            </m:ctrlPr>
          </m:fPr>
          <m:num>
            <m:r>
              <m:rPr>
                <m:sty m:val="p"/>
              </m:rPr>
              <w:rPr>
                <w:rFonts w:ascii="Cambria Math" w:hAnsi="Cambria Math" w:cs="Cambria Math"/>
                <w:color w:val="FF0000"/>
              </w:rPr>
              <m:t>total compte bancaire</m:t>
            </m:r>
          </m:num>
          <m:den>
            <m:r>
              <w:rPr>
                <w:rFonts w:ascii="Cambria Math" w:hAnsi="Cambria Math" w:cs="Cambria Math"/>
                <w:color w:val="FF0000"/>
              </w:rPr>
              <m:t>total population</m:t>
            </m:r>
          </m:den>
        </m:f>
      </m:oMath>
      <w:r w:rsidR="003B308C">
        <w:rPr>
          <w:rFonts w:eastAsiaTheme="minorEastAsia"/>
        </w:rPr>
        <w:t xml:space="preserve"> = (en 2007 de 27%). Mais si on intègre les comptes au prés de Barid al Maghrib (123 agences), ce taux augmente à 40%.</w:t>
      </w:r>
    </w:p>
    <w:p w:rsidR="003B308C" w:rsidRDefault="00B10A41" w:rsidP="00A24CD9">
      <w:pPr>
        <w:pStyle w:val="Paragraphedeliste"/>
        <w:jc w:val="both"/>
        <w:rPr>
          <w:rFonts w:eastAsiaTheme="minorEastAsia"/>
        </w:rPr>
      </w:pPr>
      <m:oMath>
        <m:f>
          <m:fPr>
            <m:ctrlPr>
              <w:rPr>
                <w:rFonts w:ascii="Cambria Math" w:hAnsi="Cambria Math" w:cs="Cambria Math"/>
                <w:color w:val="FF0000"/>
              </w:rPr>
            </m:ctrlPr>
          </m:fPr>
          <m:num>
            <m:r>
              <m:rPr>
                <m:sty m:val="p"/>
              </m:rPr>
              <w:rPr>
                <w:rFonts w:ascii="Cambria Math" w:hAnsi="Cambria Math" w:cs="Cambria Math"/>
                <w:color w:val="FF0000"/>
              </w:rPr>
              <m:t>le total des comptes bancaires des résidents</m:t>
            </m:r>
          </m:num>
          <m:den>
            <m:r>
              <m:rPr>
                <m:sty m:val="p"/>
              </m:rPr>
              <w:rPr>
                <w:rFonts w:ascii="Cambria Math" w:hAnsi="Cambria Math" w:cs="Cambria Math"/>
                <w:color w:val="FF0000"/>
              </w:rPr>
              <m:t xml:space="preserve">le total de population dont </m:t>
            </m:r>
            <m:sSup>
              <m:sSupPr>
                <m:ctrlPr>
                  <w:rPr>
                    <w:rFonts w:ascii="Cambria Math" w:hAnsi="Cambria Math" w:cs="Cambria Math"/>
                    <w:color w:val="FF0000"/>
                  </w:rPr>
                </m:ctrlPr>
              </m:sSupPr>
              <m:e>
                <m:r>
                  <m:rPr>
                    <m:sty m:val="p"/>
                  </m:rPr>
                  <w:rPr>
                    <w:rFonts w:ascii="Cambria Math" w:hAnsi="Cambria Math" w:cs="Cambria Math"/>
                    <w:color w:val="FF0000"/>
                  </w:rPr>
                  <m:t>l</m:t>
                </m:r>
              </m:e>
              <m:sup>
                <m:r>
                  <m:rPr>
                    <m:sty m:val="p"/>
                  </m:rPr>
                  <w:rPr>
                    <w:rFonts w:ascii="Cambria Math" w:hAnsi="Cambria Math" w:cs="Cambria Math"/>
                    <w:color w:val="FF0000"/>
                  </w:rPr>
                  <m:t>'</m:t>
                </m:r>
              </m:sup>
            </m:sSup>
            <m:r>
              <m:rPr>
                <m:sty m:val="p"/>
              </m:rPr>
              <w:rPr>
                <w:rFonts w:ascii="Cambria Math" w:hAnsi="Cambria Math" w:cs="Cambria Math"/>
                <w:color w:val="FF0000"/>
              </w:rPr>
              <m:t>ageest supérieur à 15</m:t>
            </m:r>
          </m:den>
        </m:f>
      </m:oMath>
      <w:r w:rsidR="003B308C">
        <w:rPr>
          <w:rFonts w:eastAsiaTheme="minorEastAsia"/>
          <w:color w:val="FF0000"/>
        </w:rPr>
        <w:t xml:space="preserve">  </w:t>
      </w:r>
      <w:r w:rsidR="003B308C" w:rsidRPr="003B308C">
        <w:rPr>
          <w:rFonts w:eastAsiaTheme="minorEastAsia"/>
        </w:rPr>
        <w:t>Cela donne un taux de 31%.</w:t>
      </w:r>
    </w:p>
    <w:p w:rsidR="00BE67CE" w:rsidRDefault="00BE67CE" w:rsidP="0002021D">
      <w:pPr>
        <w:pStyle w:val="Paragraphedeliste"/>
        <w:numPr>
          <w:ilvl w:val="0"/>
          <w:numId w:val="19"/>
        </w:numPr>
        <w:jc w:val="both"/>
      </w:pPr>
      <w:r>
        <w:t>Le développement du revenu des marocain, et la baisse du taux de chômage.</w:t>
      </w:r>
    </w:p>
    <w:p w:rsidR="00BE67CE" w:rsidRDefault="00BE67CE" w:rsidP="0002021D">
      <w:pPr>
        <w:pStyle w:val="Paragraphedeliste"/>
        <w:numPr>
          <w:ilvl w:val="0"/>
          <w:numId w:val="19"/>
        </w:numPr>
        <w:jc w:val="both"/>
      </w:pPr>
      <w:r>
        <w:t>L’évolution de M3 s’explique aussi par l’évolution des placements à terme, ceci s’explique par l’</w:t>
      </w:r>
      <w:r w:rsidR="00302291">
        <w:t xml:space="preserve">évolution de l’épargne des marocains, qui est encourager par l’augmentation du taux d’intérêt dans la première partie, contrairement à la deuxième période. </w:t>
      </w:r>
    </w:p>
    <w:p w:rsidR="00302291" w:rsidRDefault="00DB31AA" w:rsidP="00A24CD9">
      <w:pPr>
        <w:jc w:val="both"/>
      </w:pPr>
      <w:r>
        <w:t>NB : les produits d’épargne bancaire sont : les placements à vue ; les bons de caisse ; les certificats de dépôt ; et les dépôts à terme. En plus de ces produits les banques peuvent mettre à la disposition de leurs clients d’autres produits d’épargne non bancaire, tel que les produits de banque assurance ; les OPCVM (les produits de placement les plus importants) ;  les produits du marché financier (actions, obligations)</w:t>
      </w:r>
      <w:r w:rsidR="007D2732">
        <w:t> ; et les produits du marché monétaire (titre de créance négociable TCN : les bons de trésor, les bons de société de financement, et les billet de trésorerie émis par des sociétés non financières).</w:t>
      </w:r>
    </w:p>
    <w:p w:rsidR="007D2732" w:rsidRDefault="007D2732" w:rsidP="00A24CD9">
      <w:pPr>
        <w:jc w:val="both"/>
      </w:pPr>
      <w:r>
        <w:lastRenderedPageBreak/>
        <w:t xml:space="preserve">La masse monétaire est fortement  </w:t>
      </w:r>
      <w:r w:rsidR="007C477D">
        <w:t>liée</w:t>
      </w:r>
      <w:r>
        <w:t xml:space="preserve"> à e aux contreparties de la masse monétaire, à savoir : </w:t>
      </w:r>
      <w:r w:rsidR="007C477D">
        <w:t>les crédits</w:t>
      </w:r>
      <w:r>
        <w:t xml:space="preserve"> à l</w:t>
      </w:r>
      <w:r w:rsidR="00636539">
        <w:t>’</w:t>
      </w:r>
      <w:r>
        <w:t>économie</w:t>
      </w:r>
      <w:r w:rsidR="00636539">
        <w:t>, les avoirs extérieurs nets et les créances sur le trésor public.</w:t>
      </w:r>
    </w:p>
    <w:p w:rsidR="00636539" w:rsidRDefault="00636539" w:rsidP="00A24CD9">
      <w:pPr>
        <w:jc w:val="both"/>
      </w:pPr>
      <w:r>
        <w:t>L’analyse de l’évolution de la masse monétaire entre 1987 et 2007</w:t>
      </w:r>
    </w:p>
    <w:tbl>
      <w:tblPr>
        <w:tblStyle w:val="Tramemoyenne2-Accent2"/>
        <w:tblW w:w="0" w:type="auto"/>
        <w:tblLayout w:type="fixed"/>
        <w:tblLook w:val="04A0"/>
      </w:tblPr>
      <w:tblGrid>
        <w:gridCol w:w="1951"/>
        <w:gridCol w:w="851"/>
        <w:gridCol w:w="850"/>
        <w:gridCol w:w="992"/>
        <w:gridCol w:w="851"/>
        <w:gridCol w:w="850"/>
        <w:gridCol w:w="993"/>
        <w:gridCol w:w="850"/>
        <w:gridCol w:w="851"/>
      </w:tblGrid>
      <w:tr w:rsidR="00E54CED" w:rsidTr="000F5BC8">
        <w:trPr>
          <w:cnfStyle w:val="100000000000"/>
        </w:trPr>
        <w:tc>
          <w:tcPr>
            <w:cnfStyle w:val="001000000100"/>
            <w:tcW w:w="1951" w:type="dxa"/>
          </w:tcPr>
          <w:p w:rsidR="00F10111" w:rsidRDefault="00F10111" w:rsidP="00A24CD9">
            <w:pPr>
              <w:jc w:val="both"/>
            </w:pPr>
          </w:p>
        </w:tc>
        <w:tc>
          <w:tcPr>
            <w:tcW w:w="851" w:type="dxa"/>
          </w:tcPr>
          <w:p w:rsidR="00F10111" w:rsidRDefault="00F10111" w:rsidP="00A24CD9">
            <w:pPr>
              <w:jc w:val="both"/>
              <w:cnfStyle w:val="100000000000"/>
            </w:pPr>
            <w:r>
              <w:t>Montant en MD</w:t>
            </w:r>
          </w:p>
        </w:tc>
        <w:tc>
          <w:tcPr>
            <w:tcW w:w="850" w:type="dxa"/>
          </w:tcPr>
          <w:p w:rsidR="00F10111" w:rsidRDefault="00F10111" w:rsidP="00A24CD9">
            <w:pPr>
              <w:jc w:val="both"/>
              <w:cnfStyle w:val="100000000000"/>
            </w:pPr>
            <w:r>
              <w:t>Part%</w:t>
            </w:r>
          </w:p>
        </w:tc>
        <w:tc>
          <w:tcPr>
            <w:tcW w:w="992" w:type="dxa"/>
          </w:tcPr>
          <w:p w:rsidR="00F10111" w:rsidRDefault="00F10111" w:rsidP="00A24CD9">
            <w:pPr>
              <w:jc w:val="both"/>
              <w:cnfStyle w:val="100000000000"/>
            </w:pPr>
            <w:r>
              <w:t>Montant  en MD</w:t>
            </w:r>
          </w:p>
        </w:tc>
        <w:tc>
          <w:tcPr>
            <w:tcW w:w="851" w:type="dxa"/>
          </w:tcPr>
          <w:p w:rsidR="00F10111" w:rsidRDefault="00F10111" w:rsidP="00A24CD9">
            <w:pPr>
              <w:jc w:val="both"/>
              <w:cnfStyle w:val="100000000000"/>
            </w:pPr>
            <w:r>
              <w:t>Part %</w:t>
            </w:r>
          </w:p>
        </w:tc>
        <w:tc>
          <w:tcPr>
            <w:tcW w:w="850" w:type="dxa"/>
          </w:tcPr>
          <w:p w:rsidR="00F10111" w:rsidRDefault="00F10111" w:rsidP="00A24CD9">
            <w:pPr>
              <w:jc w:val="both"/>
              <w:cnfStyle w:val="100000000000"/>
            </w:pPr>
            <w:r>
              <w:t>∆</w:t>
            </w:r>
          </w:p>
        </w:tc>
        <w:tc>
          <w:tcPr>
            <w:tcW w:w="993" w:type="dxa"/>
          </w:tcPr>
          <w:p w:rsidR="00F10111" w:rsidRDefault="00F10111" w:rsidP="00A24CD9">
            <w:pPr>
              <w:jc w:val="both"/>
              <w:cnfStyle w:val="100000000000"/>
            </w:pPr>
            <w:r>
              <w:t>Montant en MD</w:t>
            </w:r>
          </w:p>
        </w:tc>
        <w:tc>
          <w:tcPr>
            <w:tcW w:w="850" w:type="dxa"/>
          </w:tcPr>
          <w:p w:rsidR="00F10111" w:rsidRDefault="00F10111" w:rsidP="00A24CD9">
            <w:pPr>
              <w:jc w:val="both"/>
              <w:cnfStyle w:val="100000000000"/>
            </w:pPr>
            <w:r>
              <w:t>Part %</w:t>
            </w:r>
          </w:p>
        </w:tc>
        <w:tc>
          <w:tcPr>
            <w:tcW w:w="851" w:type="dxa"/>
          </w:tcPr>
          <w:p w:rsidR="00F10111" w:rsidRDefault="00F10111" w:rsidP="00A24CD9">
            <w:pPr>
              <w:jc w:val="both"/>
              <w:cnfStyle w:val="100000000000"/>
            </w:pPr>
            <w:r>
              <w:t>∆</w:t>
            </w:r>
          </w:p>
        </w:tc>
      </w:tr>
      <w:tr w:rsidR="00E54CED" w:rsidTr="000F5BC8">
        <w:trPr>
          <w:cnfStyle w:val="000000100000"/>
        </w:trPr>
        <w:tc>
          <w:tcPr>
            <w:cnfStyle w:val="001000000000"/>
            <w:tcW w:w="1951" w:type="dxa"/>
          </w:tcPr>
          <w:p w:rsidR="00F10111" w:rsidRDefault="00F10111" w:rsidP="00A24CD9">
            <w:pPr>
              <w:jc w:val="both"/>
            </w:pPr>
            <w:r>
              <w:t>Créance sur l’éco</w:t>
            </w:r>
          </w:p>
        </w:tc>
        <w:tc>
          <w:tcPr>
            <w:tcW w:w="851" w:type="dxa"/>
          </w:tcPr>
          <w:p w:rsidR="00F10111" w:rsidRDefault="00E54CED" w:rsidP="00A24CD9">
            <w:pPr>
              <w:jc w:val="both"/>
              <w:cnfStyle w:val="000000100000"/>
            </w:pPr>
            <w:r>
              <w:t>52423</w:t>
            </w:r>
          </w:p>
        </w:tc>
        <w:tc>
          <w:tcPr>
            <w:tcW w:w="850" w:type="dxa"/>
          </w:tcPr>
          <w:p w:rsidR="00F10111" w:rsidRDefault="00E54CED" w:rsidP="00A24CD9">
            <w:pPr>
              <w:jc w:val="both"/>
              <w:cnfStyle w:val="000000100000"/>
            </w:pPr>
            <w:r>
              <w:t>56,24</w:t>
            </w:r>
          </w:p>
        </w:tc>
        <w:tc>
          <w:tcPr>
            <w:tcW w:w="992" w:type="dxa"/>
          </w:tcPr>
          <w:p w:rsidR="00F10111" w:rsidRDefault="00E54CED" w:rsidP="00A24CD9">
            <w:pPr>
              <w:jc w:val="both"/>
              <w:cnfStyle w:val="000000100000"/>
            </w:pPr>
            <w:r>
              <w:t>159424</w:t>
            </w:r>
          </w:p>
        </w:tc>
        <w:tc>
          <w:tcPr>
            <w:tcW w:w="851" w:type="dxa"/>
          </w:tcPr>
          <w:p w:rsidR="00F10111" w:rsidRDefault="00E54CED" w:rsidP="00A24CD9">
            <w:pPr>
              <w:jc w:val="both"/>
              <w:cnfStyle w:val="000000100000"/>
            </w:pPr>
            <w:r>
              <w:t>57,27</w:t>
            </w:r>
          </w:p>
        </w:tc>
        <w:tc>
          <w:tcPr>
            <w:tcW w:w="850" w:type="dxa"/>
          </w:tcPr>
          <w:p w:rsidR="00F10111" w:rsidRDefault="00E54CED" w:rsidP="00A24CD9">
            <w:pPr>
              <w:jc w:val="both"/>
              <w:cnfStyle w:val="000000100000"/>
            </w:pPr>
            <w:r>
              <w:t>11,76</w:t>
            </w:r>
          </w:p>
        </w:tc>
        <w:tc>
          <w:tcPr>
            <w:tcW w:w="993" w:type="dxa"/>
          </w:tcPr>
          <w:p w:rsidR="00F10111" w:rsidRDefault="00E54CED" w:rsidP="00A24CD9">
            <w:pPr>
              <w:jc w:val="both"/>
              <w:cnfStyle w:val="000000100000"/>
            </w:pPr>
            <w:r>
              <w:t>436285</w:t>
            </w:r>
          </w:p>
        </w:tc>
        <w:tc>
          <w:tcPr>
            <w:tcW w:w="850" w:type="dxa"/>
          </w:tcPr>
          <w:p w:rsidR="00F10111" w:rsidRDefault="00E54CED" w:rsidP="00A24CD9">
            <w:pPr>
              <w:jc w:val="both"/>
              <w:cnfStyle w:val="000000100000"/>
            </w:pPr>
            <w:r>
              <w:t>61,03</w:t>
            </w:r>
          </w:p>
        </w:tc>
        <w:tc>
          <w:tcPr>
            <w:tcW w:w="851" w:type="dxa"/>
          </w:tcPr>
          <w:p w:rsidR="00F10111" w:rsidRDefault="00E54CED" w:rsidP="00A24CD9">
            <w:pPr>
              <w:jc w:val="both"/>
              <w:cnfStyle w:val="000000100000"/>
            </w:pPr>
            <w:r>
              <w:t>10,59</w:t>
            </w:r>
          </w:p>
        </w:tc>
      </w:tr>
      <w:tr w:rsidR="00E54CED" w:rsidTr="000F5BC8">
        <w:tc>
          <w:tcPr>
            <w:cnfStyle w:val="001000000000"/>
            <w:tcW w:w="1951" w:type="dxa"/>
          </w:tcPr>
          <w:p w:rsidR="00F10111" w:rsidRDefault="00F10111" w:rsidP="0002021D">
            <w:pPr>
              <w:pStyle w:val="Paragraphedeliste"/>
              <w:numPr>
                <w:ilvl w:val="0"/>
                <w:numId w:val="18"/>
              </w:numPr>
              <w:jc w:val="both"/>
            </w:pPr>
            <w:r>
              <w:t>BAM</w:t>
            </w:r>
          </w:p>
        </w:tc>
        <w:tc>
          <w:tcPr>
            <w:tcW w:w="851" w:type="dxa"/>
          </w:tcPr>
          <w:p w:rsidR="00F10111" w:rsidRDefault="00E54CED" w:rsidP="00A24CD9">
            <w:pPr>
              <w:jc w:val="both"/>
              <w:cnfStyle w:val="000000000000"/>
            </w:pPr>
            <w:r>
              <w:t>5835</w:t>
            </w:r>
          </w:p>
        </w:tc>
        <w:tc>
          <w:tcPr>
            <w:tcW w:w="850" w:type="dxa"/>
          </w:tcPr>
          <w:p w:rsidR="00F10111" w:rsidRDefault="00E54CED" w:rsidP="00A24CD9">
            <w:pPr>
              <w:jc w:val="both"/>
              <w:cnfStyle w:val="000000000000"/>
            </w:pPr>
            <w:r>
              <w:t>11,13</w:t>
            </w:r>
          </w:p>
        </w:tc>
        <w:tc>
          <w:tcPr>
            <w:tcW w:w="992" w:type="dxa"/>
          </w:tcPr>
          <w:p w:rsidR="00F10111" w:rsidRDefault="00E54CED" w:rsidP="00A24CD9">
            <w:pPr>
              <w:jc w:val="both"/>
              <w:cnfStyle w:val="000000000000"/>
            </w:pPr>
            <w:r>
              <w:t>7395</w:t>
            </w:r>
          </w:p>
        </w:tc>
        <w:tc>
          <w:tcPr>
            <w:tcW w:w="851" w:type="dxa"/>
          </w:tcPr>
          <w:p w:rsidR="00F10111" w:rsidRDefault="00E54CED" w:rsidP="00A24CD9">
            <w:pPr>
              <w:jc w:val="both"/>
              <w:cnfStyle w:val="000000000000"/>
            </w:pPr>
            <w:r>
              <w:t>4,64</w:t>
            </w:r>
          </w:p>
        </w:tc>
        <w:tc>
          <w:tcPr>
            <w:tcW w:w="850" w:type="dxa"/>
          </w:tcPr>
          <w:p w:rsidR="00F10111" w:rsidRDefault="00E54CED" w:rsidP="00A24CD9">
            <w:pPr>
              <w:jc w:val="both"/>
              <w:cnfStyle w:val="000000000000"/>
            </w:pPr>
            <w:r>
              <w:t>2,40</w:t>
            </w:r>
          </w:p>
        </w:tc>
        <w:tc>
          <w:tcPr>
            <w:tcW w:w="993" w:type="dxa"/>
          </w:tcPr>
          <w:p w:rsidR="00F10111" w:rsidRDefault="00E54CED" w:rsidP="00A24CD9">
            <w:pPr>
              <w:jc w:val="both"/>
              <w:cnfStyle w:val="000000000000"/>
            </w:pPr>
            <w:r>
              <w:t>6820</w:t>
            </w:r>
          </w:p>
        </w:tc>
        <w:tc>
          <w:tcPr>
            <w:tcW w:w="850" w:type="dxa"/>
          </w:tcPr>
          <w:p w:rsidR="00F10111" w:rsidRDefault="00E54CED" w:rsidP="00A24CD9">
            <w:pPr>
              <w:jc w:val="both"/>
              <w:cnfStyle w:val="000000000000"/>
            </w:pPr>
            <w:r>
              <w:t>1,56</w:t>
            </w:r>
          </w:p>
        </w:tc>
        <w:tc>
          <w:tcPr>
            <w:tcW w:w="851" w:type="dxa"/>
          </w:tcPr>
          <w:p w:rsidR="00F10111" w:rsidRDefault="00E54CED" w:rsidP="00A24CD9">
            <w:pPr>
              <w:jc w:val="both"/>
              <w:cnfStyle w:val="000000000000"/>
            </w:pPr>
            <w:r>
              <w:t xml:space="preserve">-0,86 </w:t>
            </w:r>
          </w:p>
        </w:tc>
      </w:tr>
      <w:tr w:rsidR="00E54CED" w:rsidTr="000F5BC8">
        <w:trPr>
          <w:cnfStyle w:val="000000100000"/>
        </w:trPr>
        <w:tc>
          <w:tcPr>
            <w:cnfStyle w:val="001000000000"/>
            <w:tcW w:w="1951" w:type="dxa"/>
          </w:tcPr>
          <w:p w:rsidR="00F10111" w:rsidRDefault="00F10111" w:rsidP="0002021D">
            <w:pPr>
              <w:pStyle w:val="Paragraphedeliste"/>
              <w:numPr>
                <w:ilvl w:val="0"/>
                <w:numId w:val="18"/>
              </w:numPr>
              <w:jc w:val="both"/>
            </w:pPr>
            <w:r>
              <w:t>Banques</w:t>
            </w:r>
          </w:p>
        </w:tc>
        <w:tc>
          <w:tcPr>
            <w:tcW w:w="851" w:type="dxa"/>
          </w:tcPr>
          <w:p w:rsidR="00F10111" w:rsidRDefault="00EF4539" w:rsidP="00A24CD9">
            <w:pPr>
              <w:jc w:val="both"/>
              <w:cnfStyle w:val="000000100000"/>
            </w:pPr>
            <w:r>
              <w:t>46588</w:t>
            </w:r>
          </w:p>
        </w:tc>
        <w:tc>
          <w:tcPr>
            <w:tcW w:w="850" w:type="dxa"/>
          </w:tcPr>
          <w:p w:rsidR="00F10111" w:rsidRDefault="00EF4539" w:rsidP="00A24CD9">
            <w:pPr>
              <w:jc w:val="both"/>
              <w:cnfStyle w:val="000000100000"/>
            </w:pPr>
            <w:r>
              <w:t>88,87</w:t>
            </w:r>
          </w:p>
        </w:tc>
        <w:tc>
          <w:tcPr>
            <w:tcW w:w="992" w:type="dxa"/>
          </w:tcPr>
          <w:p w:rsidR="00F10111" w:rsidRDefault="00EF4539" w:rsidP="00A24CD9">
            <w:pPr>
              <w:jc w:val="both"/>
              <w:cnfStyle w:val="000000100000"/>
            </w:pPr>
            <w:r>
              <w:t>152029</w:t>
            </w:r>
          </w:p>
        </w:tc>
        <w:tc>
          <w:tcPr>
            <w:tcW w:w="851" w:type="dxa"/>
          </w:tcPr>
          <w:p w:rsidR="00F10111" w:rsidRDefault="00EF4539" w:rsidP="00A24CD9">
            <w:pPr>
              <w:jc w:val="both"/>
              <w:cnfStyle w:val="000000100000"/>
            </w:pPr>
            <w:r>
              <w:t>95,36</w:t>
            </w:r>
          </w:p>
        </w:tc>
        <w:tc>
          <w:tcPr>
            <w:tcW w:w="850" w:type="dxa"/>
          </w:tcPr>
          <w:p w:rsidR="00F10111" w:rsidRDefault="00EF4539" w:rsidP="00A24CD9">
            <w:pPr>
              <w:jc w:val="both"/>
              <w:cnfStyle w:val="000000100000"/>
            </w:pPr>
            <w:r>
              <w:t>12,55</w:t>
            </w:r>
          </w:p>
        </w:tc>
        <w:tc>
          <w:tcPr>
            <w:tcW w:w="993" w:type="dxa"/>
          </w:tcPr>
          <w:p w:rsidR="00F10111" w:rsidRDefault="00EF4539" w:rsidP="00A24CD9">
            <w:pPr>
              <w:jc w:val="both"/>
              <w:cnfStyle w:val="000000100000"/>
            </w:pPr>
            <w:r>
              <w:t>429465</w:t>
            </w:r>
          </w:p>
        </w:tc>
        <w:tc>
          <w:tcPr>
            <w:tcW w:w="850" w:type="dxa"/>
          </w:tcPr>
          <w:p w:rsidR="00F10111" w:rsidRDefault="00EF4539" w:rsidP="00A24CD9">
            <w:pPr>
              <w:jc w:val="both"/>
              <w:cnfStyle w:val="000000100000"/>
            </w:pPr>
            <w:r>
              <w:t>98,44</w:t>
            </w:r>
          </w:p>
        </w:tc>
        <w:tc>
          <w:tcPr>
            <w:tcW w:w="851" w:type="dxa"/>
          </w:tcPr>
          <w:p w:rsidR="00F10111" w:rsidRDefault="00EF4539" w:rsidP="00A24CD9">
            <w:pPr>
              <w:jc w:val="both"/>
              <w:cnfStyle w:val="000000100000"/>
            </w:pPr>
            <w:r>
              <w:t>10 ,94</w:t>
            </w:r>
          </w:p>
        </w:tc>
      </w:tr>
      <w:tr w:rsidR="00E54CED" w:rsidTr="000F5BC8">
        <w:tc>
          <w:tcPr>
            <w:cnfStyle w:val="001000000000"/>
            <w:tcW w:w="1951" w:type="dxa"/>
          </w:tcPr>
          <w:p w:rsidR="00F10111" w:rsidRDefault="00F10111" w:rsidP="00A24CD9">
            <w:pPr>
              <w:jc w:val="both"/>
            </w:pPr>
            <w:r>
              <w:t>Créance sur le R M</w:t>
            </w:r>
          </w:p>
        </w:tc>
        <w:tc>
          <w:tcPr>
            <w:tcW w:w="851" w:type="dxa"/>
          </w:tcPr>
          <w:p w:rsidR="00F10111" w:rsidRDefault="00EF4539" w:rsidP="00A24CD9">
            <w:pPr>
              <w:jc w:val="both"/>
              <w:cnfStyle w:val="000000000000"/>
            </w:pPr>
            <w:r>
              <w:t>3213</w:t>
            </w:r>
          </w:p>
        </w:tc>
        <w:tc>
          <w:tcPr>
            <w:tcW w:w="850" w:type="dxa"/>
          </w:tcPr>
          <w:p w:rsidR="00F10111" w:rsidRDefault="00EF4539" w:rsidP="00A24CD9">
            <w:pPr>
              <w:jc w:val="both"/>
              <w:cnfStyle w:val="000000000000"/>
            </w:pPr>
            <w:r>
              <w:t>3,46</w:t>
            </w:r>
          </w:p>
        </w:tc>
        <w:tc>
          <w:tcPr>
            <w:tcW w:w="992" w:type="dxa"/>
          </w:tcPr>
          <w:p w:rsidR="00F10111" w:rsidRDefault="00EF4539" w:rsidP="00A24CD9">
            <w:pPr>
              <w:jc w:val="both"/>
              <w:cnfStyle w:val="000000000000"/>
            </w:pPr>
            <w:r>
              <w:t>40649</w:t>
            </w:r>
          </w:p>
        </w:tc>
        <w:tc>
          <w:tcPr>
            <w:tcW w:w="851" w:type="dxa"/>
          </w:tcPr>
          <w:p w:rsidR="00F10111" w:rsidRDefault="00EF4539" w:rsidP="00A24CD9">
            <w:pPr>
              <w:jc w:val="both"/>
              <w:cnfStyle w:val="000000000000"/>
            </w:pPr>
            <w:r>
              <w:t>14,60</w:t>
            </w:r>
          </w:p>
        </w:tc>
        <w:tc>
          <w:tcPr>
            <w:tcW w:w="850" w:type="dxa"/>
          </w:tcPr>
          <w:p w:rsidR="00F10111" w:rsidRDefault="00EF4539" w:rsidP="00A24CD9">
            <w:pPr>
              <w:jc w:val="both"/>
              <w:cnfStyle w:val="000000000000"/>
            </w:pPr>
            <w:r>
              <w:t>28,89</w:t>
            </w:r>
          </w:p>
        </w:tc>
        <w:tc>
          <w:tcPr>
            <w:tcW w:w="993" w:type="dxa"/>
          </w:tcPr>
          <w:p w:rsidR="00F10111" w:rsidRDefault="00EF4539" w:rsidP="00A24CD9">
            <w:pPr>
              <w:jc w:val="both"/>
              <w:cnfStyle w:val="000000000000"/>
            </w:pPr>
            <w:r>
              <w:t>208519</w:t>
            </w:r>
          </w:p>
        </w:tc>
        <w:tc>
          <w:tcPr>
            <w:tcW w:w="850" w:type="dxa"/>
          </w:tcPr>
          <w:p w:rsidR="00F10111" w:rsidRDefault="00EF4539" w:rsidP="00A24CD9">
            <w:pPr>
              <w:jc w:val="both"/>
              <w:cnfStyle w:val="000000000000"/>
            </w:pPr>
            <w:r>
              <w:t>29,17</w:t>
            </w:r>
          </w:p>
        </w:tc>
        <w:tc>
          <w:tcPr>
            <w:tcW w:w="851" w:type="dxa"/>
          </w:tcPr>
          <w:p w:rsidR="00F10111" w:rsidRDefault="00EF4539" w:rsidP="00A24CD9">
            <w:pPr>
              <w:jc w:val="both"/>
              <w:cnfStyle w:val="000000000000"/>
            </w:pPr>
            <w:r>
              <w:t>17,76</w:t>
            </w:r>
          </w:p>
        </w:tc>
      </w:tr>
      <w:tr w:rsidR="00E54CED" w:rsidTr="000F5BC8">
        <w:trPr>
          <w:cnfStyle w:val="000000100000"/>
        </w:trPr>
        <w:tc>
          <w:tcPr>
            <w:cnfStyle w:val="001000000000"/>
            <w:tcW w:w="1951" w:type="dxa"/>
          </w:tcPr>
          <w:p w:rsidR="00F10111" w:rsidRDefault="00F10111" w:rsidP="0002021D">
            <w:pPr>
              <w:pStyle w:val="Paragraphedeliste"/>
              <w:numPr>
                <w:ilvl w:val="0"/>
                <w:numId w:val="20"/>
              </w:numPr>
              <w:jc w:val="both"/>
            </w:pPr>
            <w:r>
              <w:t>BAM</w:t>
            </w:r>
          </w:p>
        </w:tc>
        <w:tc>
          <w:tcPr>
            <w:tcW w:w="851" w:type="dxa"/>
          </w:tcPr>
          <w:p w:rsidR="00F10111" w:rsidRDefault="00EF4539" w:rsidP="00A24CD9">
            <w:pPr>
              <w:jc w:val="both"/>
              <w:cnfStyle w:val="000000100000"/>
            </w:pPr>
            <w:r>
              <w:t>2985</w:t>
            </w:r>
          </w:p>
        </w:tc>
        <w:tc>
          <w:tcPr>
            <w:tcW w:w="850" w:type="dxa"/>
          </w:tcPr>
          <w:p w:rsidR="00F10111" w:rsidRDefault="00EF4539" w:rsidP="00A24CD9">
            <w:pPr>
              <w:jc w:val="both"/>
              <w:cnfStyle w:val="000000100000"/>
            </w:pPr>
            <w:r>
              <w:t>92,90</w:t>
            </w:r>
          </w:p>
        </w:tc>
        <w:tc>
          <w:tcPr>
            <w:tcW w:w="992" w:type="dxa"/>
          </w:tcPr>
          <w:p w:rsidR="00F10111" w:rsidRDefault="00EF4539" w:rsidP="00A24CD9">
            <w:pPr>
              <w:jc w:val="both"/>
              <w:cnfStyle w:val="000000100000"/>
            </w:pPr>
            <w:r>
              <w:t>40355</w:t>
            </w:r>
          </w:p>
        </w:tc>
        <w:tc>
          <w:tcPr>
            <w:tcW w:w="851" w:type="dxa"/>
          </w:tcPr>
          <w:p w:rsidR="00F10111" w:rsidRDefault="00EF4539" w:rsidP="00A24CD9">
            <w:pPr>
              <w:jc w:val="both"/>
              <w:cnfStyle w:val="000000100000"/>
            </w:pPr>
            <w:r>
              <w:t>99,28</w:t>
            </w:r>
          </w:p>
        </w:tc>
        <w:tc>
          <w:tcPr>
            <w:tcW w:w="850" w:type="dxa"/>
          </w:tcPr>
          <w:p w:rsidR="00F10111" w:rsidRDefault="00EF4539" w:rsidP="00A24CD9">
            <w:pPr>
              <w:jc w:val="both"/>
              <w:cnfStyle w:val="000000100000"/>
            </w:pPr>
            <w:r>
              <w:t>29,75</w:t>
            </w:r>
          </w:p>
        </w:tc>
        <w:tc>
          <w:tcPr>
            <w:tcW w:w="993" w:type="dxa"/>
          </w:tcPr>
          <w:p w:rsidR="00F10111" w:rsidRDefault="00EF4539" w:rsidP="00A24CD9">
            <w:pPr>
              <w:jc w:val="both"/>
              <w:cnfStyle w:val="000000100000"/>
            </w:pPr>
            <w:r>
              <w:t>188327</w:t>
            </w:r>
          </w:p>
        </w:tc>
        <w:tc>
          <w:tcPr>
            <w:tcW w:w="850" w:type="dxa"/>
          </w:tcPr>
          <w:p w:rsidR="00F10111" w:rsidRDefault="00EF4539" w:rsidP="00A24CD9">
            <w:pPr>
              <w:jc w:val="both"/>
              <w:cnfStyle w:val="000000100000"/>
            </w:pPr>
            <w:r>
              <w:t>90,32</w:t>
            </w:r>
          </w:p>
        </w:tc>
        <w:tc>
          <w:tcPr>
            <w:tcW w:w="851" w:type="dxa"/>
          </w:tcPr>
          <w:p w:rsidR="00F10111" w:rsidRDefault="00EF4539" w:rsidP="00A24CD9">
            <w:pPr>
              <w:jc w:val="both"/>
              <w:cnfStyle w:val="000000100000"/>
            </w:pPr>
            <w:r>
              <w:t>16,65</w:t>
            </w:r>
          </w:p>
        </w:tc>
      </w:tr>
      <w:tr w:rsidR="00E54CED" w:rsidTr="000F5BC8">
        <w:tc>
          <w:tcPr>
            <w:cnfStyle w:val="001000000000"/>
            <w:tcW w:w="1951" w:type="dxa"/>
          </w:tcPr>
          <w:p w:rsidR="00F10111" w:rsidRDefault="00F10111" w:rsidP="0002021D">
            <w:pPr>
              <w:pStyle w:val="Paragraphedeliste"/>
              <w:numPr>
                <w:ilvl w:val="0"/>
                <w:numId w:val="20"/>
              </w:numPr>
              <w:jc w:val="both"/>
            </w:pPr>
            <w:r>
              <w:t>Banques</w:t>
            </w:r>
          </w:p>
        </w:tc>
        <w:tc>
          <w:tcPr>
            <w:tcW w:w="851" w:type="dxa"/>
          </w:tcPr>
          <w:p w:rsidR="00F10111" w:rsidRDefault="00EF4539" w:rsidP="00A24CD9">
            <w:pPr>
              <w:jc w:val="both"/>
              <w:cnfStyle w:val="000000000000"/>
            </w:pPr>
            <w:r>
              <w:t>228</w:t>
            </w:r>
          </w:p>
        </w:tc>
        <w:tc>
          <w:tcPr>
            <w:tcW w:w="850" w:type="dxa"/>
          </w:tcPr>
          <w:p w:rsidR="00F10111" w:rsidRDefault="00D53AC8" w:rsidP="00A24CD9">
            <w:pPr>
              <w:jc w:val="both"/>
              <w:cnfStyle w:val="000000000000"/>
            </w:pPr>
            <w:r>
              <w:t>7,09</w:t>
            </w:r>
          </w:p>
        </w:tc>
        <w:tc>
          <w:tcPr>
            <w:tcW w:w="992" w:type="dxa"/>
          </w:tcPr>
          <w:p w:rsidR="00F10111" w:rsidRDefault="00D53AC8" w:rsidP="00A24CD9">
            <w:pPr>
              <w:jc w:val="both"/>
              <w:cnfStyle w:val="000000000000"/>
            </w:pPr>
            <w:r>
              <w:t>294</w:t>
            </w:r>
          </w:p>
        </w:tc>
        <w:tc>
          <w:tcPr>
            <w:tcW w:w="851" w:type="dxa"/>
          </w:tcPr>
          <w:p w:rsidR="00F10111" w:rsidRDefault="00D53AC8" w:rsidP="00A24CD9">
            <w:pPr>
              <w:jc w:val="both"/>
              <w:cnfStyle w:val="000000000000"/>
            </w:pPr>
            <w:r>
              <w:t>0,72</w:t>
            </w:r>
          </w:p>
        </w:tc>
        <w:tc>
          <w:tcPr>
            <w:tcW w:w="850" w:type="dxa"/>
          </w:tcPr>
          <w:p w:rsidR="00F10111" w:rsidRDefault="00D53AC8" w:rsidP="00A24CD9">
            <w:pPr>
              <w:jc w:val="both"/>
              <w:cnfStyle w:val="000000000000"/>
            </w:pPr>
            <w:r>
              <w:t>2,57</w:t>
            </w:r>
          </w:p>
        </w:tc>
        <w:tc>
          <w:tcPr>
            <w:tcW w:w="993" w:type="dxa"/>
          </w:tcPr>
          <w:p w:rsidR="00F10111" w:rsidRDefault="00D53AC8" w:rsidP="00A24CD9">
            <w:pPr>
              <w:jc w:val="both"/>
              <w:cnfStyle w:val="000000000000"/>
            </w:pPr>
            <w:r>
              <w:t>20192</w:t>
            </w:r>
          </w:p>
        </w:tc>
        <w:tc>
          <w:tcPr>
            <w:tcW w:w="850" w:type="dxa"/>
          </w:tcPr>
          <w:p w:rsidR="00F10111" w:rsidRDefault="00D53AC8" w:rsidP="00A24CD9">
            <w:pPr>
              <w:jc w:val="both"/>
              <w:cnfStyle w:val="000000000000"/>
            </w:pPr>
            <w:r>
              <w:t>9,68</w:t>
            </w:r>
          </w:p>
        </w:tc>
        <w:tc>
          <w:tcPr>
            <w:tcW w:w="851" w:type="dxa"/>
          </w:tcPr>
          <w:p w:rsidR="00F10111" w:rsidRDefault="00D53AC8" w:rsidP="00A24CD9">
            <w:pPr>
              <w:jc w:val="both"/>
              <w:cnfStyle w:val="000000000000"/>
            </w:pPr>
            <w:r>
              <w:t>52,64</w:t>
            </w:r>
          </w:p>
        </w:tc>
      </w:tr>
      <w:tr w:rsidR="00E54CED" w:rsidTr="000F5BC8">
        <w:trPr>
          <w:cnfStyle w:val="000000100000"/>
        </w:trPr>
        <w:tc>
          <w:tcPr>
            <w:cnfStyle w:val="001000000000"/>
            <w:tcW w:w="1951" w:type="dxa"/>
          </w:tcPr>
          <w:p w:rsidR="00F10111" w:rsidRDefault="00F10111" w:rsidP="00A24CD9">
            <w:pPr>
              <w:jc w:val="both"/>
            </w:pPr>
            <w:r>
              <w:t>Créances sur l’Etat</w:t>
            </w:r>
          </w:p>
        </w:tc>
        <w:tc>
          <w:tcPr>
            <w:tcW w:w="851" w:type="dxa"/>
          </w:tcPr>
          <w:p w:rsidR="00F10111" w:rsidRDefault="00B5385F" w:rsidP="00A24CD9">
            <w:pPr>
              <w:jc w:val="both"/>
              <w:cnfStyle w:val="000000100000"/>
            </w:pPr>
            <w:r>
              <w:t>37076</w:t>
            </w:r>
          </w:p>
        </w:tc>
        <w:tc>
          <w:tcPr>
            <w:tcW w:w="850" w:type="dxa"/>
          </w:tcPr>
          <w:p w:rsidR="00F10111" w:rsidRDefault="00B5385F" w:rsidP="00A24CD9">
            <w:pPr>
              <w:jc w:val="both"/>
              <w:cnfStyle w:val="000000100000"/>
            </w:pPr>
            <w:r>
              <w:t>39,99</w:t>
            </w:r>
          </w:p>
        </w:tc>
        <w:tc>
          <w:tcPr>
            <w:tcW w:w="992" w:type="dxa"/>
          </w:tcPr>
          <w:p w:rsidR="00F10111" w:rsidRDefault="00B5385F" w:rsidP="00A24CD9">
            <w:pPr>
              <w:jc w:val="both"/>
              <w:cnfStyle w:val="000000100000"/>
            </w:pPr>
            <w:r>
              <w:t>78296</w:t>
            </w:r>
          </w:p>
        </w:tc>
        <w:tc>
          <w:tcPr>
            <w:tcW w:w="851" w:type="dxa"/>
          </w:tcPr>
          <w:p w:rsidR="00F10111" w:rsidRDefault="00B5385F" w:rsidP="00A24CD9">
            <w:pPr>
              <w:jc w:val="both"/>
              <w:cnfStyle w:val="000000100000"/>
            </w:pPr>
            <w:r>
              <w:t>28,13</w:t>
            </w:r>
          </w:p>
        </w:tc>
        <w:tc>
          <w:tcPr>
            <w:tcW w:w="850" w:type="dxa"/>
          </w:tcPr>
          <w:p w:rsidR="00F10111" w:rsidRDefault="00B5385F" w:rsidP="00A24CD9">
            <w:pPr>
              <w:jc w:val="both"/>
              <w:cnfStyle w:val="000000100000"/>
            </w:pPr>
            <w:r>
              <w:t>7,76</w:t>
            </w:r>
          </w:p>
        </w:tc>
        <w:tc>
          <w:tcPr>
            <w:tcW w:w="993" w:type="dxa"/>
          </w:tcPr>
          <w:p w:rsidR="00F10111" w:rsidRDefault="00B5385F" w:rsidP="00A24CD9">
            <w:pPr>
              <w:jc w:val="both"/>
              <w:cnfStyle w:val="000000100000"/>
            </w:pPr>
            <w:r>
              <w:t>70065</w:t>
            </w:r>
          </w:p>
        </w:tc>
        <w:tc>
          <w:tcPr>
            <w:tcW w:w="850" w:type="dxa"/>
          </w:tcPr>
          <w:p w:rsidR="00F10111" w:rsidRDefault="00B5385F" w:rsidP="00A24CD9">
            <w:pPr>
              <w:jc w:val="both"/>
              <w:cnfStyle w:val="000000100000"/>
            </w:pPr>
            <w:r>
              <w:t>9,80</w:t>
            </w:r>
          </w:p>
        </w:tc>
        <w:tc>
          <w:tcPr>
            <w:tcW w:w="851" w:type="dxa"/>
          </w:tcPr>
          <w:p w:rsidR="00F10111" w:rsidRDefault="00B5385F" w:rsidP="00A24CD9">
            <w:pPr>
              <w:jc w:val="both"/>
              <w:cnfStyle w:val="000000100000"/>
            </w:pPr>
            <w:r>
              <w:t>-1,10</w:t>
            </w:r>
          </w:p>
        </w:tc>
      </w:tr>
      <w:tr w:rsidR="00E54CED" w:rsidTr="000F5BC8">
        <w:tc>
          <w:tcPr>
            <w:cnfStyle w:val="001000000000"/>
            <w:tcW w:w="1951" w:type="dxa"/>
          </w:tcPr>
          <w:p w:rsidR="00E54CED" w:rsidRDefault="00E54CED" w:rsidP="0002021D">
            <w:pPr>
              <w:pStyle w:val="Paragraphedeliste"/>
              <w:numPr>
                <w:ilvl w:val="0"/>
                <w:numId w:val="21"/>
              </w:numPr>
              <w:jc w:val="both"/>
            </w:pPr>
            <w:r>
              <w:t>BAM</w:t>
            </w:r>
          </w:p>
        </w:tc>
        <w:tc>
          <w:tcPr>
            <w:tcW w:w="851" w:type="dxa"/>
          </w:tcPr>
          <w:p w:rsidR="00E54CED" w:rsidRDefault="00B5385F" w:rsidP="00A24CD9">
            <w:pPr>
              <w:jc w:val="both"/>
              <w:cnfStyle w:val="000000000000"/>
            </w:pPr>
            <w:r>
              <w:t>8799</w:t>
            </w:r>
          </w:p>
        </w:tc>
        <w:tc>
          <w:tcPr>
            <w:tcW w:w="850" w:type="dxa"/>
          </w:tcPr>
          <w:p w:rsidR="00E54CED" w:rsidRDefault="00B5385F" w:rsidP="00A24CD9">
            <w:pPr>
              <w:jc w:val="both"/>
              <w:cnfStyle w:val="000000000000"/>
            </w:pPr>
            <w:r>
              <w:t>23,73</w:t>
            </w:r>
          </w:p>
        </w:tc>
        <w:tc>
          <w:tcPr>
            <w:tcW w:w="992" w:type="dxa"/>
          </w:tcPr>
          <w:p w:rsidR="00E54CED" w:rsidRDefault="00B5385F" w:rsidP="00A24CD9">
            <w:pPr>
              <w:jc w:val="both"/>
              <w:cnfStyle w:val="000000000000"/>
            </w:pPr>
            <w:r>
              <w:t>19680</w:t>
            </w:r>
          </w:p>
        </w:tc>
        <w:tc>
          <w:tcPr>
            <w:tcW w:w="851" w:type="dxa"/>
          </w:tcPr>
          <w:p w:rsidR="00E54CED" w:rsidRDefault="00B5385F" w:rsidP="00A24CD9">
            <w:pPr>
              <w:jc w:val="both"/>
              <w:cnfStyle w:val="000000000000"/>
            </w:pPr>
            <w:r>
              <w:t>25,13</w:t>
            </w:r>
          </w:p>
        </w:tc>
        <w:tc>
          <w:tcPr>
            <w:tcW w:w="850" w:type="dxa"/>
          </w:tcPr>
          <w:p w:rsidR="00E54CED" w:rsidRDefault="00B5385F" w:rsidP="00A24CD9">
            <w:pPr>
              <w:jc w:val="both"/>
              <w:cnfStyle w:val="000000000000"/>
            </w:pPr>
            <w:r>
              <w:t>8,38</w:t>
            </w:r>
          </w:p>
        </w:tc>
        <w:tc>
          <w:tcPr>
            <w:tcW w:w="993" w:type="dxa"/>
          </w:tcPr>
          <w:p w:rsidR="00E54CED" w:rsidRDefault="00B5385F" w:rsidP="00A24CD9">
            <w:pPr>
              <w:jc w:val="both"/>
              <w:cnfStyle w:val="000000000000"/>
            </w:pPr>
            <w:r>
              <w:t>-3425</w:t>
            </w:r>
          </w:p>
        </w:tc>
        <w:tc>
          <w:tcPr>
            <w:tcW w:w="850" w:type="dxa"/>
          </w:tcPr>
          <w:p w:rsidR="00E54CED" w:rsidRDefault="00B5385F" w:rsidP="00A24CD9">
            <w:pPr>
              <w:jc w:val="both"/>
              <w:cnfStyle w:val="000000000000"/>
            </w:pPr>
            <w:r>
              <w:t>-4,89</w:t>
            </w:r>
          </w:p>
        </w:tc>
        <w:tc>
          <w:tcPr>
            <w:tcW w:w="851" w:type="dxa"/>
          </w:tcPr>
          <w:p w:rsidR="00E54CED" w:rsidRDefault="00E54CED" w:rsidP="00A24CD9">
            <w:pPr>
              <w:jc w:val="both"/>
              <w:cnfStyle w:val="000000000000"/>
            </w:pPr>
          </w:p>
        </w:tc>
      </w:tr>
      <w:tr w:rsidR="00E54CED" w:rsidTr="000F5BC8">
        <w:trPr>
          <w:cnfStyle w:val="000000100000"/>
        </w:trPr>
        <w:tc>
          <w:tcPr>
            <w:cnfStyle w:val="001000000000"/>
            <w:tcW w:w="1951" w:type="dxa"/>
          </w:tcPr>
          <w:p w:rsidR="00E54CED" w:rsidRDefault="00E54CED" w:rsidP="0002021D">
            <w:pPr>
              <w:pStyle w:val="Paragraphedeliste"/>
              <w:numPr>
                <w:ilvl w:val="0"/>
                <w:numId w:val="21"/>
              </w:numPr>
              <w:jc w:val="both"/>
            </w:pPr>
            <w:r>
              <w:t>Banques</w:t>
            </w:r>
          </w:p>
        </w:tc>
        <w:tc>
          <w:tcPr>
            <w:tcW w:w="851" w:type="dxa"/>
          </w:tcPr>
          <w:p w:rsidR="00E54CED" w:rsidRDefault="00B5385F" w:rsidP="00A24CD9">
            <w:pPr>
              <w:jc w:val="both"/>
              <w:cnfStyle w:val="000000100000"/>
            </w:pPr>
            <w:r>
              <w:t>28277</w:t>
            </w:r>
          </w:p>
        </w:tc>
        <w:tc>
          <w:tcPr>
            <w:tcW w:w="850" w:type="dxa"/>
          </w:tcPr>
          <w:p w:rsidR="00E54CED" w:rsidRDefault="00B5385F" w:rsidP="00A24CD9">
            <w:pPr>
              <w:jc w:val="both"/>
              <w:cnfStyle w:val="000000100000"/>
            </w:pPr>
            <w:r>
              <w:t>76,26</w:t>
            </w:r>
          </w:p>
        </w:tc>
        <w:tc>
          <w:tcPr>
            <w:tcW w:w="992" w:type="dxa"/>
          </w:tcPr>
          <w:p w:rsidR="00E54CED" w:rsidRDefault="00B5385F" w:rsidP="00A24CD9">
            <w:pPr>
              <w:jc w:val="both"/>
              <w:cnfStyle w:val="000000100000"/>
            </w:pPr>
            <w:r>
              <w:t>58616</w:t>
            </w:r>
          </w:p>
        </w:tc>
        <w:tc>
          <w:tcPr>
            <w:tcW w:w="851" w:type="dxa"/>
          </w:tcPr>
          <w:p w:rsidR="00E54CED" w:rsidRDefault="00B5385F" w:rsidP="00A24CD9">
            <w:pPr>
              <w:jc w:val="both"/>
              <w:cnfStyle w:val="000000100000"/>
            </w:pPr>
            <w:r>
              <w:t>74,87</w:t>
            </w:r>
          </w:p>
        </w:tc>
        <w:tc>
          <w:tcPr>
            <w:tcW w:w="850" w:type="dxa"/>
          </w:tcPr>
          <w:p w:rsidR="00E54CED" w:rsidRDefault="00B5385F" w:rsidP="00A24CD9">
            <w:pPr>
              <w:jc w:val="both"/>
              <w:cnfStyle w:val="000000100000"/>
            </w:pPr>
            <w:r>
              <w:t>7,56</w:t>
            </w:r>
          </w:p>
        </w:tc>
        <w:tc>
          <w:tcPr>
            <w:tcW w:w="993" w:type="dxa"/>
          </w:tcPr>
          <w:p w:rsidR="00E54CED" w:rsidRDefault="00B5385F" w:rsidP="00A24CD9">
            <w:pPr>
              <w:jc w:val="both"/>
              <w:cnfStyle w:val="000000100000"/>
            </w:pPr>
            <w:r>
              <w:t>73490</w:t>
            </w:r>
          </w:p>
        </w:tc>
        <w:tc>
          <w:tcPr>
            <w:tcW w:w="850" w:type="dxa"/>
          </w:tcPr>
          <w:p w:rsidR="00E54CED" w:rsidRDefault="00B5385F" w:rsidP="00A24CD9">
            <w:pPr>
              <w:jc w:val="both"/>
              <w:cnfStyle w:val="000000100000"/>
            </w:pPr>
            <w:r>
              <w:t>104,89</w:t>
            </w:r>
          </w:p>
        </w:tc>
        <w:tc>
          <w:tcPr>
            <w:tcW w:w="851" w:type="dxa"/>
          </w:tcPr>
          <w:p w:rsidR="00E54CED" w:rsidRDefault="00B5385F" w:rsidP="00A24CD9">
            <w:pPr>
              <w:jc w:val="both"/>
              <w:cnfStyle w:val="000000100000"/>
            </w:pPr>
            <w:r>
              <w:t>2,29</w:t>
            </w:r>
          </w:p>
        </w:tc>
      </w:tr>
      <w:tr w:rsidR="000F5BC8" w:rsidTr="000F5BC8">
        <w:tc>
          <w:tcPr>
            <w:cnfStyle w:val="001000000000"/>
            <w:tcW w:w="1951" w:type="dxa"/>
          </w:tcPr>
          <w:p w:rsidR="000F5BC8" w:rsidRDefault="000F5BC8" w:rsidP="00A24CD9">
            <w:pPr>
              <w:jc w:val="both"/>
            </w:pPr>
            <w:r>
              <w:t>total</w:t>
            </w:r>
          </w:p>
        </w:tc>
        <w:tc>
          <w:tcPr>
            <w:tcW w:w="851" w:type="dxa"/>
          </w:tcPr>
          <w:p w:rsidR="000F5BC8" w:rsidRDefault="000F5BC8" w:rsidP="00A24CD9">
            <w:pPr>
              <w:jc w:val="both"/>
              <w:cnfStyle w:val="000000000000"/>
            </w:pPr>
            <w:r>
              <w:t>92712</w:t>
            </w:r>
          </w:p>
        </w:tc>
        <w:tc>
          <w:tcPr>
            <w:tcW w:w="850" w:type="dxa"/>
          </w:tcPr>
          <w:p w:rsidR="000F5BC8" w:rsidRDefault="000F5BC8" w:rsidP="00A24CD9">
            <w:pPr>
              <w:jc w:val="both"/>
              <w:cnfStyle w:val="000000000000"/>
            </w:pPr>
            <w:r>
              <w:t>100%</w:t>
            </w:r>
          </w:p>
        </w:tc>
        <w:tc>
          <w:tcPr>
            <w:tcW w:w="992" w:type="dxa"/>
          </w:tcPr>
          <w:p w:rsidR="000F5BC8" w:rsidRDefault="000F5BC8" w:rsidP="00A24CD9">
            <w:pPr>
              <w:jc w:val="both"/>
              <w:cnfStyle w:val="000000000000"/>
            </w:pPr>
            <w:r>
              <w:t>278369</w:t>
            </w:r>
          </w:p>
        </w:tc>
        <w:tc>
          <w:tcPr>
            <w:tcW w:w="851" w:type="dxa"/>
          </w:tcPr>
          <w:p w:rsidR="000F5BC8" w:rsidRDefault="000F5BC8" w:rsidP="00A24CD9">
            <w:pPr>
              <w:jc w:val="both"/>
              <w:cnfStyle w:val="000000000000"/>
            </w:pPr>
            <w:r>
              <w:t>100%</w:t>
            </w:r>
          </w:p>
        </w:tc>
        <w:tc>
          <w:tcPr>
            <w:tcW w:w="850" w:type="dxa"/>
          </w:tcPr>
          <w:p w:rsidR="000F5BC8" w:rsidRDefault="000F5BC8" w:rsidP="00A24CD9">
            <w:pPr>
              <w:jc w:val="both"/>
              <w:cnfStyle w:val="000000000000"/>
            </w:pPr>
            <w:r>
              <w:t>11,62</w:t>
            </w:r>
          </w:p>
        </w:tc>
        <w:tc>
          <w:tcPr>
            <w:tcW w:w="993" w:type="dxa"/>
          </w:tcPr>
          <w:p w:rsidR="000F5BC8" w:rsidRDefault="000F5BC8" w:rsidP="00A24CD9">
            <w:pPr>
              <w:jc w:val="both"/>
              <w:cnfStyle w:val="000000000000"/>
            </w:pPr>
            <w:r>
              <w:t>714869</w:t>
            </w:r>
          </w:p>
        </w:tc>
        <w:tc>
          <w:tcPr>
            <w:tcW w:w="850" w:type="dxa"/>
          </w:tcPr>
          <w:p w:rsidR="000F5BC8" w:rsidRDefault="000F5BC8" w:rsidP="00A24CD9">
            <w:pPr>
              <w:jc w:val="both"/>
              <w:cnfStyle w:val="000000000000"/>
            </w:pPr>
            <w:r>
              <w:t>100%</w:t>
            </w:r>
          </w:p>
        </w:tc>
        <w:tc>
          <w:tcPr>
            <w:tcW w:w="851" w:type="dxa"/>
          </w:tcPr>
          <w:p w:rsidR="000F5BC8" w:rsidRDefault="000F5BC8" w:rsidP="00A24CD9">
            <w:pPr>
              <w:jc w:val="both"/>
              <w:cnfStyle w:val="000000000000"/>
            </w:pPr>
          </w:p>
        </w:tc>
      </w:tr>
    </w:tbl>
    <w:p w:rsidR="00636539" w:rsidRPr="003B308C" w:rsidRDefault="00636539" w:rsidP="00A24CD9">
      <w:pPr>
        <w:jc w:val="both"/>
      </w:pPr>
    </w:p>
    <w:p w:rsidR="003B308C" w:rsidRDefault="007C477D" w:rsidP="00A24CD9">
      <w:pPr>
        <w:jc w:val="both"/>
      </w:pPr>
      <w:r>
        <w:t>L’analyse du deuxième tableau de</w:t>
      </w:r>
    </w:p>
    <w:p w:rsidR="007C477D" w:rsidRDefault="007C477D" w:rsidP="0002021D">
      <w:pPr>
        <w:pStyle w:val="Paragraphedeliste"/>
        <w:numPr>
          <w:ilvl w:val="0"/>
          <w:numId w:val="27"/>
        </w:numPr>
        <w:jc w:val="both"/>
      </w:pPr>
      <w:r>
        <w:t>En cherchant à maîtriser l’inflation</w:t>
      </w:r>
      <w:r w:rsidR="002F5C10">
        <w:t>,</w:t>
      </w:r>
      <w:r>
        <w:t xml:space="preserve"> l</w:t>
      </w:r>
      <w:r w:rsidR="002F5C10">
        <w:t>e trésor public n’est plus finan</w:t>
      </w:r>
      <w:r>
        <w:t>cé direct</w:t>
      </w:r>
      <w:r w:rsidR="002F5C10">
        <w:t>ement par la création de la monnai</w:t>
      </w:r>
      <w:r>
        <w:t xml:space="preserve">e, mais </w:t>
      </w:r>
      <w:r w:rsidR="00023197">
        <w:t xml:space="preserve">il </w:t>
      </w:r>
      <w:r>
        <w:t>doit se financer directement sur le marché.</w:t>
      </w:r>
    </w:p>
    <w:p w:rsidR="007C477D" w:rsidRDefault="007C477D" w:rsidP="0002021D">
      <w:pPr>
        <w:pStyle w:val="Paragraphedeliste"/>
        <w:numPr>
          <w:ilvl w:val="0"/>
          <w:numId w:val="27"/>
        </w:numPr>
        <w:jc w:val="both"/>
      </w:pPr>
      <w:r>
        <w:t>Une partie des dettes</w:t>
      </w:r>
      <w:r w:rsidR="0016563C">
        <w:t xml:space="preserve"> publiques</w:t>
      </w:r>
      <w:r>
        <w:t xml:space="preserve"> externes</w:t>
      </w:r>
      <w:r w:rsidR="0016563C">
        <w:t xml:space="preserve"> est transformé en investissements directs étrangers.</w:t>
      </w:r>
    </w:p>
    <w:p w:rsidR="0016563C" w:rsidRDefault="0016563C" w:rsidP="0002021D">
      <w:pPr>
        <w:pStyle w:val="Paragraphedeliste"/>
        <w:numPr>
          <w:ilvl w:val="0"/>
          <w:numId w:val="27"/>
        </w:numPr>
        <w:jc w:val="both"/>
      </w:pPr>
      <w:r>
        <w:t xml:space="preserve">Il y a une </w:t>
      </w:r>
      <w:r w:rsidR="00023197">
        <w:t>diminution</w:t>
      </w:r>
      <w:r>
        <w:t xml:space="preserve"> de la dette externe, mais une augmentation de la dette interne.</w:t>
      </w:r>
    </w:p>
    <w:p w:rsidR="0016563C" w:rsidRDefault="0016563C" w:rsidP="0002021D">
      <w:pPr>
        <w:pStyle w:val="Paragraphedeliste"/>
        <w:numPr>
          <w:ilvl w:val="0"/>
          <w:numId w:val="27"/>
        </w:numPr>
        <w:jc w:val="both"/>
      </w:pPr>
      <w:r>
        <w:t>Le tréso</w:t>
      </w:r>
      <w:r w:rsidR="00023197">
        <w:t xml:space="preserve">r public peut se financer sur le </w:t>
      </w:r>
      <w:r>
        <w:t>marché externe, où le taux d’intérêt est moins important de, mais il y a risque de change</w:t>
      </w:r>
      <w:r w:rsidR="00023197">
        <w:t xml:space="preserve"> (</w:t>
      </w:r>
      <w:r>
        <w:t>qui peut être maîtrisé par l’achat d’une assurance</w:t>
      </w:r>
      <w:r w:rsidR="00023197">
        <w:t>)</w:t>
      </w:r>
      <w:r>
        <w:t>.</w:t>
      </w:r>
    </w:p>
    <w:p w:rsidR="00466E53" w:rsidRDefault="00B10A41" w:rsidP="00A24CD9">
      <w:pPr>
        <w:ind w:left="360"/>
        <w:jc w:val="both"/>
      </w:pPr>
      <w:r>
        <w:rPr>
          <w:noProof/>
          <w:lang w:eastAsia="fr-FR"/>
        </w:rPr>
        <w:pict>
          <v:shape id="_x0000_s1051" type="#_x0000_t32" style="position:absolute;left:0;text-align:left;margin-left:19.15pt;margin-top:11.5pt;width:34.5pt;height:0;z-index:251678720" o:connectortype="straight">
            <v:stroke endarrow="block"/>
          </v:shape>
        </w:pict>
      </w:r>
      <w:r w:rsidR="0016563C">
        <w:t xml:space="preserve">                En étudiant les contreparties de la cré</w:t>
      </w:r>
      <w:r w:rsidR="00023197">
        <w:t>ation monétaire en constate que :</w:t>
      </w:r>
    </w:p>
    <w:p w:rsidR="0016563C" w:rsidRDefault="0016563C" w:rsidP="0002021D">
      <w:pPr>
        <w:pStyle w:val="Paragraphedeliste"/>
        <w:numPr>
          <w:ilvl w:val="0"/>
          <w:numId w:val="28"/>
        </w:numPr>
        <w:jc w:val="both"/>
      </w:pPr>
      <w:r>
        <w:t xml:space="preserve">la première </w:t>
      </w:r>
      <w:r w:rsidR="00023197">
        <w:t>contrepartie de</w:t>
      </w:r>
      <w:r>
        <w:t xml:space="preserve"> la création de la monnaie e</w:t>
      </w:r>
      <w:r w:rsidR="00023197">
        <w:t>s</w:t>
      </w:r>
      <w:r>
        <w:t xml:space="preserve">t le crédit monétaire à l’économie </w:t>
      </w:r>
      <w:r w:rsidR="00023197">
        <w:t>(</w:t>
      </w:r>
      <w:r>
        <w:t>ménages et entreprises</w:t>
      </w:r>
      <w:r w:rsidR="00023197">
        <w:t>)</w:t>
      </w:r>
      <w:r>
        <w:t>, ces cr</w:t>
      </w:r>
      <w:r w:rsidR="00023197">
        <w:t>édits const</w:t>
      </w:r>
      <w:r>
        <w:t>it</w:t>
      </w:r>
      <w:r w:rsidR="00023197">
        <w:t>u</w:t>
      </w:r>
      <w:r>
        <w:t>e</w:t>
      </w:r>
      <w:r w:rsidR="00023197">
        <w:t>nt le noyau</w:t>
      </w:r>
      <w:r>
        <w:t xml:space="preserve"> </w:t>
      </w:r>
      <w:r w:rsidR="00E03EE2">
        <w:t>dur</w:t>
      </w:r>
      <w:r>
        <w:t xml:space="preserve"> de toutes les économies, et principalement les économies d’endettement celles qui se financent principalement par le crédit bancaire</w:t>
      </w:r>
      <w:r w:rsidR="00466E53">
        <w:t xml:space="preserve">, </w:t>
      </w:r>
      <w:r w:rsidR="00023197">
        <w:t>(</w:t>
      </w:r>
      <w:r w:rsidR="00E03EE2">
        <w:t>par opposition aux économies du</w:t>
      </w:r>
      <w:r w:rsidR="00466E53">
        <w:t xml:space="preserve"> marché qui se financent d’une manière importante par les marchés de capitaux</w:t>
      </w:r>
      <w:r w:rsidR="00E03EE2">
        <w:t>). Les crédits évoluent  avec d</w:t>
      </w:r>
      <w:r w:rsidR="00466E53">
        <w:t>e</w:t>
      </w:r>
      <w:r w:rsidR="00E03EE2">
        <w:t>s</w:t>
      </w:r>
      <w:r w:rsidR="00466E53">
        <w:t xml:space="preserve"> taux </w:t>
      </w:r>
      <w:r w:rsidR="00E03EE2">
        <w:t>de croissance qui diffèrent d’une période à l’autre</w:t>
      </w:r>
      <w:r w:rsidR="00466E53">
        <w:t xml:space="preserve"> sel</w:t>
      </w:r>
      <w:r w:rsidR="00E03EE2">
        <w:t>on la conjoncture économique e</w:t>
      </w:r>
      <w:r w:rsidR="00466E53">
        <w:t>t selon les orientations de la politique monétaire</w:t>
      </w:r>
      <w:r w:rsidR="00466E53">
        <w:rPr>
          <w:rStyle w:val="Appelnotedebasdep"/>
        </w:rPr>
        <w:footnoteReference w:id="2"/>
      </w:r>
      <w:r w:rsidR="00466E53">
        <w:t>.</w:t>
      </w:r>
    </w:p>
    <w:p w:rsidR="00D57B46" w:rsidRDefault="00466E53" w:rsidP="0002021D">
      <w:pPr>
        <w:pStyle w:val="Paragraphedeliste"/>
        <w:numPr>
          <w:ilvl w:val="0"/>
          <w:numId w:val="28"/>
        </w:numPr>
        <w:jc w:val="both"/>
      </w:pPr>
      <w:r>
        <w:t>Pour la deuxiè</w:t>
      </w:r>
      <w:r w:rsidR="00E03EE2">
        <w:t>me contrepartie c’est les avoirs extérieurs nets</w:t>
      </w:r>
      <w:r>
        <w:t xml:space="preserve"> des banques</w:t>
      </w:r>
      <w:r w:rsidR="00E03EE2">
        <w:t>,</w:t>
      </w:r>
      <w:r>
        <w:t xml:space="preserve"> </w:t>
      </w:r>
      <w:r w:rsidR="00893C55">
        <w:t>ceux-ci</w:t>
      </w:r>
      <w:r w:rsidR="00E03EE2">
        <w:t xml:space="preserve"> sont influencés </w:t>
      </w:r>
      <w:r>
        <w:t xml:space="preserve"> par la balance commerciale </w:t>
      </w:r>
      <w:r w:rsidR="00E03EE2">
        <w:t>(l</w:t>
      </w:r>
      <w:r>
        <w:t>es exportations et les importations</w:t>
      </w:r>
      <w:r w:rsidR="00E03EE2">
        <w:t>)</w:t>
      </w:r>
      <w:r w:rsidR="00D57B46">
        <w:t>.</w:t>
      </w:r>
      <w:r w:rsidR="00E03EE2">
        <w:t xml:space="preserve"> Les transferts des MRE, le secteur touristique, </w:t>
      </w:r>
      <w:r w:rsidR="00D57B46">
        <w:t>les investissements directs étrangers</w:t>
      </w:r>
      <w:r w:rsidR="00E03EE2">
        <w:t>,</w:t>
      </w:r>
      <w:r w:rsidR="00D57B46">
        <w:t xml:space="preserve"> et </w:t>
      </w:r>
      <w:r w:rsidR="00E03EE2">
        <w:t>la</w:t>
      </w:r>
      <w:r w:rsidR="002A77FD">
        <w:t xml:space="preserve"> dette</w:t>
      </w:r>
      <w:r w:rsidR="00D57B46">
        <w:t xml:space="preserve"> externe</w:t>
      </w:r>
      <w:r w:rsidR="00E03EE2">
        <w:t>,</w:t>
      </w:r>
      <w:r w:rsidR="00D57B46">
        <w:t xml:space="preserve"> l’importance de ces avoirs varient selon la conjoncture internationale et selon la compétitivité de l’économie nationale </w:t>
      </w:r>
      <w:r w:rsidR="00E03EE2">
        <w:t>(</w:t>
      </w:r>
      <w:r w:rsidR="00D57B46">
        <w:t>exporter et attirer</w:t>
      </w:r>
      <w:r w:rsidR="00E03EE2">
        <w:t>)</w:t>
      </w:r>
      <w:r w:rsidR="00D57B46">
        <w:t>.</w:t>
      </w:r>
    </w:p>
    <w:p w:rsidR="00D57B46" w:rsidRDefault="00BA23E5" w:rsidP="0002021D">
      <w:pPr>
        <w:pStyle w:val="Paragraphedeliste"/>
        <w:numPr>
          <w:ilvl w:val="0"/>
          <w:numId w:val="28"/>
        </w:numPr>
        <w:jc w:val="both"/>
      </w:pPr>
      <w:r>
        <w:lastRenderedPageBreak/>
        <w:t>Pour la troisième</w:t>
      </w:r>
      <w:r w:rsidR="00D57B46">
        <w:t xml:space="preserve"> contrepartie</w:t>
      </w:r>
      <w:r>
        <w:t xml:space="preserve"> elle</w:t>
      </w:r>
      <w:r w:rsidR="00D57B46">
        <w:t xml:space="preserve"> est </w:t>
      </w:r>
      <w:r w:rsidR="008223B1">
        <w:t>constituée</w:t>
      </w:r>
      <w:r w:rsidR="00D57B46">
        <w:t xml:space="preserve"> des financements monétaires du trésor public par</w:t>
      </w:r>
      <w:r>
        <w:t xml:space="preserve"> les banques</w:t>
      </w:r>
      <w:r w:rsidR="008223B1">
        <w:t xml:space="preserve"> en achetant les bons de trésor. suite à la restr</w:t>
      </w:r>
      <w:r w:rsidR="00D57B46">
        <w:t>u</w:t>
      </w:r>
      <w:r w:rsidR="008223B1">
        <w:t>cturation</w:t>
      </w:r>
      <w:r w:rsidR="00D57B46">
        <w:t xml:space="preserve"> des finances publiques</w:t>
      </w:r>
      <w:r w:rsidR="008223B1">
        <w:t>,</w:t>
      </w:r>
      <w:r w:rsidR="00D57B46">
        <w:t xml:space="preserve"> la pa</w:t>
      </w:r>
      <w:r w:rsidR="00893C55">
        <w:t>rt de cette contrepartie</w:t>
      </w:r>
      <w:r w:rsidR="00D57B46">
        <w:t xml:space="preserve"> devient moins important</w:t>
      </w:r>
      <w:r w:rsidR="008223B1">
        <w:t>e, son évolution ne dépend pas seulement du déficit</w:t>
      </w:r>
      <w:r w:rsidR="00D57B46">
        <w:t xml:space="preserve"> budgétaires</w:t>
      </w:r>
      <w:r w:rsidR="00893C55">
        <w:t>,</w:t>
      </w:r>
      <w:r w:rsidR="00D57B46">
        <w:t xml:space="preserve"> mais</w:t>
      </w:r>
      <w:r w:rsidR="008223B1">
        <w:t xml:space="preserve"> aussi </w:t>
      </w:r>
      <w:r w:rsidR="00893C55">
        <w:t>de</w:t>
      </w:r>
      <w:r w:rsidR="00D57B46">
        <w:t xml:space="preserve"> la manière avec laquelle celui –ci est financé, actuellement le trésor public est obligé de diversifier ses ressources</w:t>
      </w:r>
      <w:r w:rsidR="002A77FD">
        <w:t xml:space="preserve"> de financement, et ce pour éviter l’inflation e</w:t>
      </w:r>
      <w:r w:rsidR="00893C55">
        <w:t>t l’</w:t>
      </w:r>
      <w:r w:rsidR="002A77FD">
        <w:t xml:space="preserve">effet d’éviction </w:t>
      </w:r>
      <w:r w:rsidR="00893C55">
        <w:t>(</w:t>
      </w:r>
      <w:r w:rsidR="002A77FD">
        <w:t>c</w:t>
      </w:r>
      <w:r w:rsidR="00893C55">
        <w:t xml:space="preserve">'est-à-dire le trésor public essaye </w:t>
      </w:r>
      <w:r w:rsidR="002A77FD">
        <w:t>d</w:t>
      </w:r>
      <w:r w:rsidR="00893C55">
        <w:t>’évincer</w:t>
      </w:r>
      <w:r w:rsidR="002A77FD">
        <w:t xml:space="preserve"> les autres agents </w:t>
      </w:r>
      <w:r w:rsidR="00893C55">
        <w:t>économiques et notamment les PME et PMI</w:t>
      </w:r>
      <w:r w:rsidR="002A77FD">
        <w:t>.</w:t>
      </w: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2A77FD" w:rsidRDefault="002A77FD"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6E5B46" w:rsidRDefault="006E5B46" w:rsidP="00A24CD9">
      <w:pPr>
        <w:pStyle w:val="Paragraphedeliste"/>
        <w:ind w:left="1080"/>
        <w:jc w:val="both"/>
      </w:pPr>
    </w:p>
    <w:p w:rsidR="003B308C" w:rsidRDefault="000F5BC8" w:rsidP="0002021D">
      <w:pPr>
        <w:pStyle w:val="Paragraphedeliste"/>
        <w:numPr>
          <w:ilvl w:val="0"/>
          <w:numId w:val="7"/>
        </w:numPr>
        <w:jc w:val="both"/>
        <w:rPr>
          <w:rFonts w:eastAsia="BatangChe"/>
          <w:color w:val="FFC000"/>
          <w:sz w:val="32"/>
          <w:szCs w:val="32"/>
        </w:rPr>
      </w:pPr>
      <w:r w:rsidRPr="000F5BC8">
        <w:rPr>
          <w:rFonts w:eastAsia="BatangChe"/>
          <w:color w:val="FFC000"/>
          <w:sz w:val="32"/>
          <w:szCs w:val="32"/>
        </w:rPr>
        <w:lastRenderedPageBreak/>
        <w:t>LE Système bancaire marocain</w:t>
      </w:r>
    </w:p>
    <w:p w:rsidR="000F5BC8" w:rsidRDefault="000F5BC8" w:rsidP="00A24CD9">
      <w:pPr>
        <w:jc w:val="both"/>
        <w:rPr>
          <w:rFonts w:eastAsia="BatangChe"/>
        </w:rPr>
      </w:pPr>
      <w:r w:rsidRPr="000F5BC8">
        <w:rPr>
          <w:rFonts w:eastAsia="BatangChe"/>
        </w:rPr>
        <w:t>Pour financer l’économie dans les meilleures conditions possibles</w:t>
      </w:r>
      <w:r w:rsidR="00285FBA">
        <w:rPr>
          <w:rFonts w:eastAsia="BatangChe"/>
        </w:rPr>
        <w:t xml:space="preserve"> (produits financiers adaptés aux besoins, et un taux d’intérêt plus faible), le système bancaire marocain a connut depuis 1990 plusieurs réformes dont on peut citer :</w:t>
      </w:r>
    </w:p>
    <w:p w:rsidR="00285FBA" w:rsidRDefault="00285FBA" w:rsidP="0002021D">
      <w:pPr>
        <w:pStyle w:val="Paragraphedeliste"/>
        <w:numPr>
          <w:ilvl w:val="0"/>
          <w:numId w:val="22"/>
        </w:numPr>
        <w:jc w:val="both"/>
        <w:rPr>
          <w:rFonts w:eastAsia="BatangChe"/>
        </w:rPr>
      </w:pPr>
      <w:r>
        <w:rPr>
          <w:rFonts w:eastAsia="BatangChe"/>
        </w:rPr>
        <w:t>La déréglementation : (la libéralisation).</w:t>
      </w:r>
    </w:p>
    <w:p w:rsidR="00285FBA" w:rsidRDefault="00285FBA" w:rsidP="0002021D">
      <w:pPr>
        <w:pStyle w:val="Paragraphedeliste"/>
        <w:numPr>
          <w:ilvl w:val="0"/>
          <w:numId w:val="22"/>
        </w:numPr>
        <w:jc w:val="both"/>
        <w:rPr>
          <w:rFonts w:eastAsia="BatangChe"/>
        </w:rPr>
      </w:pPr>
      <w:r>
        <w:rPr>
          <w:rFonts w:eastAsia="BatangChe"/>
        </w:rPr>
        <w:t xml:space="preserve">Le désencadrement : désormais les banques peuvent financer l’économie avec n’importe quelle quantité de monnaie, à condition de respecter les règles prudentielle : capital minimum, respecter la réserve monétaire (15%) de dépôt à vu, la répartition du risque, la solvabilité </w:t>
      </w:r>
      <w:r w:rsidR="004B0857">
        <w:rPr>
          <w:rFonts w:eastAsia="BatangChe"/>
        </w:rPr>
        <w:t>(le ratio de+ de 8%. (voir politique monétaire)).</w:t>
      </w:r>
    </w:p>
    <w:p w:rsidR="004B0857" w:rsidRDefault="004B0857" w:rsidP="0002021D">
      <w:pPr>
        <w:pStyle w:val="Paragraphedeliste"/>
        <w:numPr>
          <w:ilvl w:val="0"/>
          <w:numId w:val="22"/>
        </w:numPr>
        <w:jc w:val="both"/>
        <w:rPr>
          <w:rFonts w:eastAsia="BatangChe"/>
        </w:rPr>
      </w:pPr>
      <w:r>
        <w:rPr>
          <w:rFonts w:eastAsia="BatangChe"/>
        </w:rPr>
        <w:t>Le décloisonnement : il n y a plus de spécialisation, dans l’objectif d’avoir le statut de la banque universelle, qui peut financer n’importe quel secteur, pour avoir un système bancaire concurrentiel.</w:t>
      </w:r>
    </w:p>
    <w:p w:rsidR="004B0857" w:rsidRDefault="004B0857" w:rsidP="0002021D">
      <w:pPr>
        <w:pStyle w:val="Paragraphedeliste"/>
        <w:numPr>
          <w:ilvl w:val="0"/>
          <w:numId w:val="22"/>
        </w:numPr>
        <w:jc w:val="both"/>
        <w:rPr>
          <w:rFonts w:eastAsia="BatangChe"/>
        </w:rPr>
      </w:pPr>
      <w:r>
        <w:rPr>
          <w:rFonts w:eastAsia="BatangChe"/>
        </w:rPr>
        <w:t>La libéralisation : libéralisation des taux d’intérêt (débiteur, et créditeur).</w:t>
      </w:r>
    </w:p>
    <w:p w:rsidR="003B308C" w:rsidRDefault="004B0857" w:rsidP="0002021D">
      <w:pPr>
        <w:pStyle w:val="Paragraphedeliste"/>
        <w:numPr>
          <w:ilvl w:val="0"/>
          <w:numId w:val="22"/>
        </w:numPr>
        <w:jc w:val="both"/>
        <w:rPr>
          <w:rFonts w:eastAsia="BatangChe"/>
        </w:rPr>
      </w:pPr>
      <w:r>
        <w:rPr>
          <w:rFonts w:eastAsia="BatangChe"/>
        </w:rPr>
        <w:t>Le refinancement des banques : l’acquisition de la monnaie fiduciaire se fait actuellement sur le marché monétaire, et non auprès de la banque centrale. Par conséquent le réescompte</w:t>
      </w:r>
      <w:r w:rsidR="007D02E9">
        <w:rPr>
          <w:rFonts w:eastAsia="BatangChe"/>
        </w:rPr>
        <w:t xml:space="preserve"> est éli</w:t>
      </w:r>
      <w:r>
        <w:rPr>
          <w:rFonts w:eastAsia="BatangChe"/>
        </w:rPr>
        <w:t xml:space="preserve">miné </w:t>
      </w:r>
      <w:r w:rsidR="007D02E9">
        <w:rPr>
          <w:rFonts w:eastAsia="BatangChe"/>
        </w:rPr>
        <w:t xml:space="preserve">le refinancement se fait d’abord sur le marché interbancaire, et en dernier recours auprès de la banque centrale (voir le marché monétaire) par les technique d’avance : 7 jrs, 3jrs, ou 24 heurs. </w:t>
      </w:r>
    </w:p>
    <w:p w:rsidR="001017A6" w:rsidRDefault="007D02E9" w:rsidP="00A24CD9">
      <w:pPr>
        <w:jc w:val="both"/>
        <w:rPr>
          <w:rFonts w:eastAsia="BatangChe"/>
        </w:rPr>
      </w:pPr>
      <w:r>
        <w:rPr>
          <w:rFonts w:eastAsia="BatangChe"/>
        </w:rPr>
        <w:t xml:space="preserve">Ces réformes on donner lieu </w:t>
      </w:r>
      <w:r w:rsidR="001017A6">
        <w:rPr>
          <w:rFonts w:eastAsia="BatangChe"/>
        </w:rPr>
        <w:t>à la loi bancaire 1993 qui a remplacé celle de 1967, et à la loi de 2006 qui a remplacé celle de 1993, et c’est la loi qui est en vigueur actuellement.</w:t>
      </w:r>
    </w:p>
    <w:p w:rsidR="001017A6" w:rsidRDefault="001017A6" w:rsidP="00A24CD9">
      <w:pPr>
        <w:jc w:val="both"/>
        <w:rPr>
          <w:rFonts w:eastAsia="BatangChe"/>
        </w:rPr>
      </w:pPr>
      <w:r>
        <w:rPr>
          <w:rFonts w:eastAsia="BatangChe"/>
        </w:rPr>
        <w:t>Le système bancaire marocain actuel peut être schématisé comme suite :</w:t>
      </w:r>
    </w:p>
    <w:p w:rsidR="007D02E9" w:rsidRDefault="001017A6" w:rsidP="0002021D">
      <w:pPr>
        <w:pStyle w:val="Paragraphedeliste"/>
        <w:numPr>
          <w:ilvl w:val="0"/>
          <w:numId w:val="23"/>
        </w:numPr>
        <w:jc w:val="both"/>
        <w:rPr>
          <w:rFonts w:eastAsia="BatangChe"/>
        </w:rPr>
      </w:pPr>
      <w:r>
        <w:rPr>
          <w:rFonts w:eastAsia="BatangChe"/>
        </w:rPr>
        <w:t>Les autorités monétaires :</w:t>
      </w:r>
    </w:p>
    <w:p w:rsidR="001017A6" w:rsidRDefault="001017A6" w:rsidP="0002021D">
      <w:pPr>
        <w:pStyle w:val="Paragraphedeliste"/>
        <w:numPr>
          <w:ilvl w:val="0"/>
          <w:numId w:val="24"/>
        </w:numPr>
        <w:jc w:val="both"/>
        <w:rPr>
          <w:rFonts w:eastAsia="BatangChe"/>
        </w:rPr>
      </w:pPr>
      <w:r>
        <w:rPr>
          <w:rFonts w:eastAsia="BatangChe"/>
        </w:rPr>
        <w:t>Il y a deux </w:t>
      </w:r>
      <w:r w:rsidRPr="00511E43">
        <w:rPr>
          <w:rFonts w:eastAsia="BatangChe"/>
        </w:rPr>
        <w:t>: la</w:t>
      </w:r>
      <w:r w:rsidRPr="001017A6">
        <w:rPr>
          <w:rFonts w:eastAsia="BatangChe"/>
          <w:color w:val="548DD4" w:themeColor="text2" w:themeTint="99"/>
        </w:rPr>
        <w:t xml:space="preserve"> BAM</w:t>
      </w:r>
      <w:r>
        <w:rPr>
          <w:rFonts w:eastAsia="BatangChe"/>
        </w:rPr>
        <w:t xml:space="preserve"> et </w:t>
      </w:r>
      <w:r w:rsidRPr="00511E43">
        <w:rPr>
          <w:rFonts w:eastAsia="BatangChe"/>
        </w:rPr>
        <w:t xml:space="preserve">le </w:t>
      </w:r>
      <w:r w:rsidRPr="00AD7C97">
        <w:rPr>
          <w:rFonts w:eastAsia="BatangChe"/>
          <w:color w:val="548DD4" w:themeColor="text2" w:themeTint="99"/>
        </w:rPr>
        <w:t>m</w:t>
      </w:r>
      <w:r w:rsidRPr="00511E43">
        <w:rPr>
          <w:rFonts w:eastAsia="BatangChe"/>
        </w:rPr>
        <w:t xml:space="preserve">inistère des </w:t>
      </w:r>
      <w:r w:rsidRPr="00AD7C97">
        <w:rPr>
          <w:rFonts w:eastAsia="BatangChe"/>
          <w:color w:val="548DD4" w:themeColor="text2" w:themeTint="99"/>
        </w:rPr>
        <w:t>f</w:t>
      </w:r>
      <w:r w:rsidRPr="00511E43">
        <w:rPr>
          <w:rFonts w:eastAsia="BatangChe"/>
        </w:rPr>
        <w:t>inances</w:t>
      </w:r>
      <w:r>
        <w:rPr>
          <w:rFonts w:eastAsia="BatangChe"/>
        </w:rPr>
        <w:t>, mais principalement c’est la banque centrale.</w:t>
      </w:r>
    </w:p>
    <w:p w:rsidR="001017A6" w:rsidRDefault="001017A6" w:rsidP="0002021D">
      <w:pPr>
        <w:pStyle w:val="Paragraphedeliste"/>
        <w:numPr>
          <w:ilvl w:val="0"/>
          <w:numId w:val="23"/>
        </w:numPr>
        <w:jc w:val="both"/>
        <w:rPr>
          <w:rFonts w:eastAsia="BatangChe"/>
        </w:rPr>
      </w:pPr>
      <w:r>
        <w:rPr>
          <w:rFonts w:eastAsia="BatangChe"/>
        </w:rPr>
        <w:t>Les organes de consultation :</w:t>
      </w:r>
    </w:p>
    <w:p w:rsidR="001017A6" w:rsidRDefault="001017A6" w:rsidP="0002021D">
      <w:pPr>
        <w:pStyle w:val="Paragraphedeliste"/>
        <w:numPr>
          <w:ilvl w:val="0"/>
          <w:numId w:val="24"/>
        </w:numPr>
        <w:jc w:val="both"/>
        <w:rPr>
          <w:rFonts w:eastAsia="BatangChe"/>
        </w:rPr>
      </w:pPr>
      <w:r>
        <w:rPr>
          <w:rFonts w:eastAsia="BatangChe"/>
        </w:rPr>
        <w:t xml:space="preserve">Le </w:t>
      </w:r>
      <w:r w:rsidRPr="00AD7C97">
        <w:rPr>
          <w:rFonts w:eastAsia="BatangChe"/>
          <w:color w:val="548DD4" w:themeColor="text2" w:themeTint="99"/>
        </w:rPr>
        <w:t>c</w:t>
      </w:r>
      <w:r>
        <w:rPr>
          <w:rFonts w:eastAsia="BatangChe"/>
        </w:rPr>
        <w:t xml:space="preserve">onseil </w:t>
      </w:r>
      <w:r w:rsidRPr="00AD7C97">
        <w:rPr>
          <w:rFonts w:eastAsia="BatangChe"/>
          <w:color w:val="548DD4" w:themeColor="text2" w:themeTint="99"/>
        </w:rPr>
        <w:t>n</w:t>
      </w:r>
      <w:r>
        <w:rPr>
          <w:rFonts w:eastAsia="BatangChe"/>
        </w:rPr>
        <w:t xml:space="preserve">ational du </w:t>
      </w:r>
      <w:r w:rsidRPr="00AD7C97">
        <w:rPr>
          <w:rFonts w:eastAsia="BatangChe"/>
          <w:color w:val="548DD4" w:themeColor="text2" w:themeTint="99"/>
        </w:rPr>
        <w:t>c</w:t>
      </w:r>
      <w:r>
        <w:rPr>
          <w:rFonts w:eastAsia="BatangChe"/>
        </w:rPr>
        <w:t>rédit et de l’</w:t>
      </w:r>
      <w:r w:rsidRPr="00AD7C97">
        <w:rPr>
          <w:rFonts w:eastAsia="BatangChe"/>
          <w:color w:val="548DD4" w:themeColor="text2" w:themeTint="99"/>
        </w:rPr>
        <w:t>é</w:t>
      </w:r>
      <w:r>
        <w:rPr>
          <w:rFonts w:eastAsia="BatangChe"/>
        </w:rPr>
        <w:t>pargne.</w:t>
      </w:r>
    </w:p>
    <w:p w:rsidR="00511E43" w:rsidRDefault="00511E43" w:rsidP="0002021D">
      <w:pPr>
        <w:pStyle w:val="Paragraphedeliste"/>
        <w:numPr>
          <w:ilvl w:val="0"/>
          <w:numId w:val="24"/>
        </w:numPr>
        <w:jc w:val="both"/>
        <w:rPr>
          <w:rFonts w:eastAsia="BatangChe"/>
        </w:rPr>
      </w:pPr>
      <w:r>
        <w:rPr>
          <w:rFonts w:eastAsia="BatangChe"/>
        </w:rPr>
        <w:t>Le conseil des établissements de crédit.</w:t>
      </w:r>
    </w:p>
    <w:p w:rsidR="00511E43" w:rsidRDefault="00511E43" w:rsidP="0002021D">
      <w:pPr>
        <w:pStyle w:val="Paragraphedeliste"/>
        <w:numPr>
          <w:ilvl w:val="0"/>
          <w:numId w:val="24"/>
        </w:numPr>
        <w:jc w:val="both"/>
        <w:rPr>
          <w:rFonts w:eastAsia="BatangChe"/>
        </w:rPr>
      </w:pPr>
      <w:r>
        <w:rPr>
          <w:rFonts w:eastAsia="BatangChe"/>
        </w:rPr>
        <w:t>La commission disciplinaire des établissements de crédit.</w:t>
      </w:r>
    </w:p>
    <w:p w:rsidR="00511E43" w:rsidRDefault="00511E43" w:rsidP="0002021D">
      <w:pPr>
        <w:pStyle w:val="Paragraphedeliste"/>
        <w:numPr>
          <w:ilvl w:val="0"/>
          <w:numId w:val="23"/>
        </w:numPr>
        <w:jc w:val="both"/>
        <w:rPr>
          <w:rFonts w:eastAsia="BatangChe"/>
        </w:rPr>
      </w:pPr>
      <w:r>
        <w:rPr>
          <w:rFonts w:eastAsia="BatangChe"/>
        </w:rPr>
        <w:t>Les organes de représentation :</w:t>
      </w:r>
    </w:p>
    <w:p w:rsidR="00511E43" w:rsidRDefault="00511E43" w:rsidP="0002021D">
      <w:pPr>
        <w:pStyle w:val="Paragraphedeliste"/>
        <w:numPr>
          <w:ilvl w:val="0"/>
          <w:numId w:val="25"/>
        </w:numPr>
        <w:jc w:val="both"/>
        <w:rPr>
          <w:rFonts w:eastAsia="BatangChe"/>
        </w:rPr>
      </w:pPr>
      <w:r>
        <w:rPr>
          <w:rFonts w:eastAsia="BatangChe"/>
        </w:rPr>
        <w:t>Le groupement professionnel des banques du Maroc</w:t>
      </w:r>
    </w:p>
    <w:p w:rsidR="00511E43" w:rsidRDefault="00511E43" w:rsidP="0002021D">
      <w:pPr>
        <w:pStyle w:val="Paragraphedeliste"/>
        <w:numPr>
          <w:ilvl w:val="0"/>
          <w:numId w:val="25"/>
        </w:numPr>
        <w:jc w:val="both"/>
        <w:rPr>
          <w:rFonts w:eastAsia="BatangChe"/>
        </w:rPr>
      </w:pPr>
      <w:r>
        <w:rPr>
          <w:rFonts w:eastAsia="BatangChe"/>
        </w:rPr>
        <w:t>L’association professionnelle des sociétés de financement</w:t>
      </w:r>
    </w:p>
    <w:p w:rsidR="002A77FD" w:rsidRDefault="002A77FD" w:rsidP="00A24CD9">
      <w:pPr>
        <w:pStyle w:val="Paragraphedeliste"/>
        <w:ind w:left="765"/>
        <w:jc w:val="both"/>
        <w:rPr>
          <w:rFonts w:eastAsia="BatangChe"/>
        </w:rPr>
      </w:pPr>
    </w:p>
    <w:p w:rsidR="002A77FD" w:rsidRDefault="002A77FD" w:rsidP="00A24CD9">
      <w:pPr>
        <w:pStyle w:val="Paragraphedeliste"/>
        <w:ind w:left="765"/>
        <w:jc w:val="both"/>
        <w:rPr>
          <w:rFonts w:eastAsia="BatangChe"/>
        </w:rPr>
      </w:pPr>
    </w:p>
    <w:p w:rsidR="00511E43" w:rsidRDefault="00511E43" w:rsidP="0002021D">
      <w:pPr>
        <w:pStyle w:val="Paragraphedeliste"/>
        <w:numPr>
          <w:ilvl w:val="0"/>
          <w:numId w:val="23"/>
        </w:numPr>
        <w:jc w:val="both"/>
        <w:rPr>
          <w:rFonts w:eastAsia="BatangChe"/>
        </w:rPr>
      </w:pPr>
      <w:r>
        <w:rPr>
          <w:rFonts w:eastAsia="BatangChe"/>
        </w:rPr>
        <w:t>Les établissements de crédit :</w:t>
      </w:r>
    </w:p>
    <w:p w:rsidR="00511E43" w:rsidRDefault="00511E43" w:rsidP="0002021D">
      <w:pPr>
        <w:pStyle w:val="Paragraphedeliste"/>
        <w:numPr>
          <w:ilvl w:val="0"/>
          <w:numId w:val="26"/>
        </w:numPr>
        <w:jc w:val="both"/>
        <w:rPr>
          <w:rFonts w:eastAsia="BatangChe"/>
        </w:rPr>
      </w:pPr>
      <w:r>
        <w:rPr>
          <w:rFonts w:eastAsia="BatangChe"/>
        </w:rPr>
        <w:t>Les banques</w:t>
      </w:r>
    </w:p>
    <w:p w:rsidR="00511E43" w:rsidRDefault="00511E43" w:rsidP="0002021D">
      <w:pPr>
        <w:pStyle w:val="Paragraphedeliste"/>
        <w:numPr>
          <w:ilvl w:val="0"/>
          <w:numId w:val="26"/>
        </w:numPr>
        <w:jc w:val="both"/>
        <w:rPr>
          <w:rFonts w:eastAsia="BatangChe"/>
        </w:rPr>
      </w:pPr>
      <w:r>
        <w:rPr>
          <w:rFonts w:eastAsia="BatangChe"/>
        </w:rPr>
        <w:t>Les sociétés de financement</w:t>
      </w:r>
    </w:p>
    <w:p w:rsidR="00511E43" w:rsidRDefault="002A77FD" w:rsidP="00A24CD9">
      <w:pPr>
        <w:pStyle w:val="Paragraphedeliste"/>
        <w:ind w:left="765"/>
        <w:jc w:val="both"/>
        <w:rPr>
          <w:rFonts w:eastAsia="BatangChe"/>
        </w:rPr>
      </w:pPr>
      <w:r>
        <w:rPr>
          <w:rFonts w:eastAsia="BatangChe"/>
        </w:rPr>
        <w:t>Ce sont des entreprises sous forme</w:t>
      </w:r>
      <w:r w:rsidR="00893C55">
        <w:rPr>
          <w:rFonts w:eastAsia="BatangChe"/>
        </w:rPr>
        <w:t xml:space="preserve"> de société anonyme,( et ce quel</w:t>
      </w:r>
      <w:r>
        <w:rPr>
          <w:rFonts w:eastAsia="BatangChe"/>
        </w:rPr>
        <w:t>que soit la nationalité des actionnaires et celle des dirigeants</w:t>
      </w:r>
      <w:r w:rsidR="00893C55">
        <w:rPr>
          <w:rFonts w:eastAsia="BatangChe"/>
        </w:rPr>
        <w:t>)</w:t>
      </w:r>
      <w:r>
        <w:rPr>
          <w:rFonts w:eastAsia="BatangChe"/>
        </w:rPr>
        <w:t>, et qui effectue d’u</w:t>
      </w:r>
      <w:r w:rsidR="00893C55">
        <w:rPr>
          <w:rFonts w:eastAsia="BatangChe"/>
        </w:rPr>
        <w:t>ne manière permanente</w:t>
      </w:r>
      <w:r>
        <w:rPr>
          <w:rFonts w:eastAsia="BatangChe"/>
        </w:rPr>
        <w:t xml:space="preserve"> au moins l’une des activités suivantes</w:t>
      </w:r>
      <w:r w:rsidR="004A6BE0">
        <w:rPr>
          <w:rFonts w:eastAsia="BatangChe"/>
        </w:rPr>
        <w:t> :</w:t>
      </w:r>
    </w:p>
    <w:p w:rsidR="004A6BE0" w:rsidRDefault="004A6BE0" w:rsidP="0002021D">
      <w:pPr>
        <w:pStyle w:val="Paragraphedeliste"/>
        <w:numPr>
          <w:ilvl w:val="0"/>
          <w:numId w:val="29"/>
        </w:numPr>
        <w:jc w:val="both"/>
        <w:rPr>
          <w:rFonts w:eastAsia="BatangChe"/>
        </w:rPr>
      </w:pPr>
      <w:r>
        <w:rPr>
          <w:rFonts w:eastAsia="BatangChe"/>
        </w:rPr>
        <w:lastRenderedPageBreak/>
        <w:t>La collecte des fonds du public</w:t>
      </w:r>
      <w:r w:rsidR="00893C55">
        <w:rPr>
          <w:rFonts w:eastAsia="BatangChe"/>
        </w:rPr>
        <w:t> : dépôt à vu</w:t>
      </w:r>
      <w:r w:rsidR="00893C55">
        <w:rPr>
          <w:rStyle w:val="Appelnotedebasdep"/>
          <w:rFonts w:eastAsia="BatangChe"/>
        </w:rPr>
        <w:footnoteReference w:id="3"/>
      </w:r>
      <w:r>
        <w:rPr>
          <w:rFonts w:eastAsia="BatangChe"/>
        </w:rPr>
        <w:t xml:space="preserve"> dépôt à terme </w:t>
      </w:r>
      <w:r w:rsidR="00893C55">
        <w:rPr>
          <w:rFonts w:eastAsia="BatangChe"/>
        </w:rPr>
        <w:t>etc.</w:t>
      </w:r>
    </w:p>
    <w:p w:rsidR="004A6BE0" w:rsidRDefault="004A6BE0" w:rsidP="0002021D">
      <w:pPr>
        <w:pStyle w:val="Paragraphedeliste"/>
        <w:numPr>
          <w:ilvl w:val="0"/>
          <w:numId w:val="29"/>
        </w:numPr>
        <w:jc w:val="both"/>
        <w:rPr>
          <w:rFonts w:eastAsia="BatangChe"/>
        </w:rPr>
      </w:pPr>
      <w:r>
        <w:rPr>
          <w:rFonts w:eastAsia="BatangChe"/>
        </w:rPr>
        <w:t>La distribution de crédits est généralem</w:t>
      </w:r>
      <w:r w:rsidR="00893C55">
        <w:rPr>
          <w:rFonts w:eastAsia="BatangChe"/>
        </w:rPr>
        <w:t>ent (</w:t>
      </w:r>
      <w:r>
        <w:rPr>
          <w:rFonts w:eastAsia="BatangChe"/>
        </w:rPr>
        <w:t>à court terme de consommation</w:t>
      </w:r>
      <w:r w:rsidR="00893C55">
        <w:rPr>
          <w:rFonts w:eastAsia="BatangChe"/>
        </w:rPr>
        <w:t>)</w:t>
      </w:r>
      <w:r>
        <w:rPr>
          <w:rFonts w:eastAsia="BatangChe"/>
        </w:rPr>
        <w:t>.</w:t>
      </w:r>
    </w:p>
    <w:p w:rsidR="004A6BE0" w:rsidRDefault="004A6BE0" w:rsidP="0002021D">
      <w:pPr>
        <w:pStyle w:val="Paragraphedeliste"/>
        <w:numPr>
          <w:ilvl w:val="0"/>
          <w:numId w:val="29"/>
        </w:numPr>
        <w:jc w:val="both"/>
        <w:rPr>
          <w:rFonts w:eastAsia="BatangChe"/>
        </w:rPr>
      </w:pPr>
      <w:r>
        <w:rPr>
          <w:rFonts w:eastAsia="BatangChe"/>
        </w:rPr>
        <w:t>La gestion des moyens de paiement</w:t>
      </w:r>
      <w:r w:rsidR="00893C55">
        <w:rPr>
          <w:rFonts w:eastAsia="BatangChe"/>
        </w:rPr>
        <w:t> : chèque,</w:t>
      </w:r>
      <w:r>
        <w:rPr>
          <w:rFonts w:eastAsia="BatangChe"/>
        </w:rPr>
        <w:t xml:space="preserve"> cartes de paiement</w:t>
      </w:r>
      <w:r w:rsidR="00893C55">
        <w:rPr>
          <w:rFonts w:eastAsia="BatangChe"/>
        </w:rPr>
        <w:t>,</w:t>
      </w:r>
      <w:r>
        <w:rPr>
          <w:rFonts w:eastAsia="BatangChe"/>
        </w:rPr>
        <w:t xml:space="preserve"> </w:t>
      </w:r>
      <w:r w:rsidR="00893C55">
        <w:rPr>
          <w:rFonts w:eastAsia="BatangChe"/>
        </w:rPr>
        <w:t>etc.</w:t>
      </w:r>
      <w:r>
        <w:rPr>
          <w:rFonts w:eastAsia="BatangChe"/>
        </w:rPr>
        <w:t xml:space="preserve"> ou de la mise à</w:t>
      </w:r>
      <w:r w:rsidR="00387311">
        <w:rPr>
          <w:rFonts w:eastAsia="BatangChe"/>
        </w:rPr>
        <w:t xml:space="preserve"> la disposition de la clientèle de c</w:t>
      </w:r>
      <w:r>
        <w:rPr>
          <w:rFonts w:eastAsia="BatangChe"/>
        </w:rPr>
        <w:t>es moyens</w:t>
      </w:r>
      <w:r w:rsidR="00387311">
        <w:rPr>
          <w:rFonts w:eastAsia="BatangChe"/>
        </w:rPr>
        <w:t>.</w:t>
      </w:r>
    </w:p>
    <w:p w:rsidR="004A6BE0" w:rsidRDefault="00387311" w:rsidP="00A24CD9">
      <w:pPr>
        <w:jc w:val="both"/>
        <w:rPr>
          <w:rFonts w:eastAsia="BatangChe"/>
        </w:rPr>
      </w:pPr>
      <w:r>
        <w:rPr>
          <w:rFonts w:eastAsia="BatangChe"/>
        </w:rPr>
        <w:t xml:space="preserve">La </w:t>
      </w:r>
      <w:r w:rsidR="004A6BE0">
        <w:rPr>
          <w:rFonts w:eastAsia="BatangChe"/>
        </w:rPr>
        <w:t xml:space="preserve">loi bancaire </w:t>
      </w:r>
      <w:r>
        <w:rPr>
          <w:rFonts w:eastAsia="BatangChe"/>
        </w:rPr>
        <w:t>assimile</w:t>
      </w:r>
      <w:r w:rsidR="004A6BE0">
        <w:rPr>
          <w:rFonts w:eastAsia="BatangChe"/>
        </w:rPr>
        <w:t xml:space="preserve"> aux opérations de crédit les opérations suivantes :</w:t>
      </w:r>
    </w:p>
    <w:p w:rsidR="004A6BE0" w:rsidRDefault="004A6BE0" w:rsidP="0002021D">
      <w:pPr>
        <w:pStyle w:val="Paragraphedeliste"/>
        <w:numPr>
          <w:ilvl w:val="0"/>
          <w:numId w:val="30"/>
        </w:numPr>
        <w:jc w:val="both"/>
        <w:rPr>
          <w:rFonts w:eastAsia="BatangChe"/>
        </w:rPr>
      </w:pPr>
      <w:r w:rsidRPr="00387311">
        <w:rPr>
          <w:rFonts w:eastAsia="BatangChe"/>
          <w:b/>
          <w:bCs/>
        </w:rPr>
        <w:t>Le cautionnemen</w:t>
      </w:r>
      <w:r>
        <w:rPr>
          <w:rFonts w:eastAsia="BatangChe"/>
        </w:rPr>
        <w:t>t : crédit par signature</w:t>
      </w:r>
      <w:r w:rsidR="00387311">
        <w:rPr>
          <w:rFonts w:eastAsia="BatangChe"/>
        </w:rPr>
        <w:t>,</w:t>
      </w:r>
      <w:r>
        <w:rPr>
          <w:rFonts w:eastAsia="BatangChe"/>
        </w:rPr>
        <w:t xml:space="preserve"> pour avoir le crédit par décaissement auprès d’un autre établissement de crédit</w:t>
      </w:r>
      <w:r w:rsidR="00387311">
        <w:rPr>
          <w:rFonts w:eastAsia="BatangChe"/>
        </w:rPr>
        <w:t>. c’est le cas de la CCG,</w:t>
      </w:r>
      <w:r>
        <w:rPr>
          <w:rFonts w:eastAsia="BatangChe"/>
        </w:rPr>
        <w:t xml:space="preserve"> la caisse centrale de garantie</w:t>
      </w:r>
      <w:r w:rsidR="00387311">
        <w:rPr>
          <w:rFonts w:eastAsia="BatangChe"/>
        </w:rPr>
        <w:t xml:space="preserve"> qui est un organisme public de garantie, et DAR ADDAMANE qui</w:t>
      </w:r>
      <w:r>
        <w:rPr>
          <w:rFonts w:eastAsia="BatangChe"/>
        </w:rPr>
        <w:t xml:space="preserve"> est aussi un organisme public qu</w:t>
      </w:r>
      <w:r w:rsidR="00387311">
        <w:rPr>
          <w:rFonts w:eastAsia="BatangChe"/>
        </w:rPr>
        <w:t>i cautionne actuellement MOKAWALATI. La CMM,</w:t>
      </w:r>
      <w:r>
        <w:rPr>
          <w:rFonts w:eastAsia="BatangChe"/>
        </w:rPr>
        <w:t xml:space="preserve"> la caisse marocaine de marché qui garantit principalement les marchés publics. To</w:t>
      </w:r>
      <w:r w:rsidR="00387311">
        <w:rPr>
          <w:rFonts w:eastAsia="BatangChe"/>
        </w:rPr>
        <w:t>utes les banques actuellement peuvent</w:t>
      </w:r>
      <w:r>
        <w:rPr>
          <w:rFonts w:eastAsia="BatangChe"/>
        </w:rPr>
        <w:t xml:space="preserve"> faire le cautionnement.</w:t>
      </w:r>
    </w:p>
    <w:p w:rsidR="004A6BE0" w:rsidRDefault="004A6BE0" w:rsidP="0002021D">
      <w:pPr>
        <w:pStyle w:val="Paragraphedeliste"/>
        <w:numPr>
          <w:ilvl w:val="0"/>
          <w:numId w:val="30"/>
        </w:numPr>
        <w:jc w:val="both"/>
        <w:rPr>
          <w:rFonts w:eastAsia="BatangChe"/>
        </w:rPr>
      </w:pPr>
      <w:r w:rsidRPr="00387311">
        <w:rPr>
          <w:rFonts w:eastAsia="BatangChe"/>
          <w:b/>
          <w:bCs/>
        </w:rPr>
        <w:t>Le leasing</w:t>
      </w:r>
      <w:r w:rsidR="002E5FEE">
        <w:rPr>
          <w:rFonts w:eastAsia="BatangChe"/>
        </w:rPr>
        <w:t xml:space="preserve"> ou le</w:t>
      </w:r>
      <w:r>
        <w:rPr>
          <w:rFonts w:eastAsia="BatangChe"/>
        </w:rPr>
        <w:t xml:space="preserve"> crédit-bail : c</w:t>
      </w:r>
      <w:r w:rsidR="002E5FEE">
        <w:rPr>
          <w:rFonts w:eastAsia="BatangChe"/>
        </w:rPr>
        <w:t>’est une location de biens soi</w:t>
      </w:r>
      <w:r>
        <w:rPr>
          <w:rFonts w:eastAsia="BatangChe"/>
        </w:rPr>
        <w:t>t mobiliers ou immobiliers avec possibilité d’achat.</w:t>
      </w:r>
    </w:p>
    <w:p w:rsidR="004A6BE0" w:rsidRDefault="004A6BE0" w:rsidP="0002021D">
      <w:pPr>
        <w:pStyle w:val="Paragraphedeliste"/>
        <w:numPr>
          <w:ilvl w:val="0"/>
          <w:numId w:val="30"/>
        </w:numPr>
        <w:jc w:val="both"/>
        <w:rPr>
          <w:rFonts w:eastAsia="BatangChe"/>
        </w:rPr>
      </w:pPr>
      <w:r w:rsidRPr="00387311">
        <w:rPr>
          <w:rFonts w:eastAsia="BatangChe"/>
          <w:b/>
          <w:bCs/>
        </w:rPr>
        <w:t>Le</w:t>
      </w:r>
      <w:r w:rsidR="00387311" w:rsidRPr="00387311">
        <w:rPr>
          <w:rFonts w:eastAsia="BatangChe"/>
          <w:b/>
          <w:bCs/>
        </w:rPr>
        <w:t xml:space="preserve"> </w:t>
      </w:r>
      <w:r w:rsidRPr="00387311">
        <w:rPr>
          <w:rFonts w:eastAsia="BatangChe"/>
          <w:b/>
          <w:bCs/>
        </w:rPr>
        <w:t>r</w:t>
      </w:r>
      <w:r w:rsidR="00387311" w:rsidRPr="00387311">
        <w:rPr>
          <w:rFonts w:eastAsia="BatangChe"/>
          <w:b/>
          <w:bCs/>
        </w:rPr>
        <w:t>éméré</w:t>
      </w:r>
      <w:r w:rsidR="00387311">
        <w:rPr>
          <w:rFonts w:eastAsia="BatangChe"/>
        </w:rPr>
        <w:t xml:space="preserve"> : </w:t>
      </w:r>
      <w:r>
        <w:rPr>
          <w:rFonts w:eastAsia="BatangChe"/>
        </w:rPr>
        <w:t>c’est une opé</w:t>
      </w:r>
      <w:r w:rsidR="00387311">
        <w:rPr>
          <w:rFonts w:eastAsia="BatangChe"/>
        </w:rPr>
        <w:t>ration de vente avec option (voir</w:t>
      </w:r>
      <w:r>
        <w:rPr>
          <w:rFonts w:eastAsia="BatangChe"/>
        </w:rPr>
        <w:t xml:space="preserve"> obligation</w:t>
      </w:r>
      <w:r w:rsidR="00387311">
        <w:rPr>
          <w:rFonts w:eastAsia="BatangChe"/>
        </w:rPr>
        <w:t>)</w:t>
      </w:r>
      <w:r>
        <w:rPr>
          <w:rFonts w:eastAsia="BatangChe"/>
        </w:rPr>
        <w:t xml:space="preserve"> de rachat, généralement</w:t>
      </w:r>
      <w:r w:rsidR="00387311">
        <w:rPr>
          <w:rFonts w:eastAsia="BatangChe"/>
        </w:rPr>
        <w:t>,</w:t>
      </w:r>
      <w:r>
        <w:rPr>
          <w:rFonts w:eastAsia="BatangChe"/>
        </w:rPr>
        <w:t xml:space="preserve"> de titres financiers. C’est le cas par exemple des titres émis par les </w:t>
      </w:r>
      <w:r w:rsidR="00387311">
        <w:rPr>
          <w:rFonts w:eastAsia="BatangChe"/>
        </w:rPr>
        <w:t>OPCVM</w:t>
      </w:r>
      <w:r>
        <w:rPr>
          <w:rStyle w:val="Appelnotedebasdep"/>
          <w:rFonts w:eastAsia="BatangChe"/>
        </w:rPr>
        <w:footnoteReference w:id="4"/>
      </w:r>
      <w:r>
        <w:rPr>
          <w:rFonts w:eastAsia="BatangChe"/>
        </w:rPr>
        <w:t>, qui sont des organismes spécialisés dans la collecte de l’épargne et son place</w:t>
      </w:r>
      <w:r w:rsidR="00DC0931">
        <w:rPr>
          <w:rFonts w:eastAsia="BatangChe"/>
        </w:rPr>
        <w:t>ment sur le marché des capitaux : Le marché monétaire e</w:t>
      </w:r>
      <w:r>
        <w:rPr>
          <w:rFonts w:eastAsia="BatangChe"/>
        </w:rPr>
        <w:t>t le marché financier</w:t>
      </w:r>
      <w:r w:rsidR="00DC0931">
        <w:rPr>
          <w:rFonts w:eastAsia="BatangChe"/>
        </w:rPr>
        <w:t>.</w:t>
      </w:r>
      <w:r w:rsidR="000C2A5A">
        <w:rPr>
          <w:rStyle w:val="Appelnotedebasdep"/>
          <w:rFonts w:eastAsia="BatangChe"/>
        </w:rPr>
        <w:footnoteReference w:id="5"/>
      </w:r>
    </w:p>
    <w:p w:rsidR="001A669F" w:rsidRDefault="001A669F" w:rsidP="00A24CD9">
      <w:pPr>
        <w:jc w:val="both"/>
        <w:rPr>
          <w:rFonts w:eastAsia="BatangChe"/>
          <w:sz w:val="24"/>
          <w:szCs w:val="24"/>
        </w:rPr>
      </w:pPr>
      <w:r>
        <w:rPr>
          <w:rFonts w:eastAsia="BatangChe"/>
          <w:sz w:val="24"/>
          <w:szCs w:val="24"/>
        </w:rPr>
        <w:t>Les établissements de crédits peuvent aussi faire ce qu’on appelle les opérations connexes par exemple les opérations de change</w:t>
      </w:r>
      <w:r w:rsidR="00163D56">
        <w:rPr>
          <w:rFonts w:eastAsia="BatangChe"/>
          <w:sz w:val="24"/>
          <w:szCs w:val="24"/>
        </w:rPr>
        <w:t>,</w:t>
      </w:r>
      <w:r>
        <w:rPr>
          <w:rFonts w:eastAsia="BatangChe"/>
          <w:sz w:val="24"/>
          <w:szCs w:val="24"/>
        </w:rPr>
        <w:t xml:space="preserve"> les opérations capital</w:t>
      </w:r>
      <w:r w:rsidR="00163D56">
        <w:rPr>
          <w:rFonts w:eastAsia="BatangChe"/>
          <w:sz w:val="24"/>
          <w:szCs w:val="24"/>
        </w:rPr>
        <w:t>-risque,</w:t>
      </w:r>
      <w:r>
        <w:rPr>
          <w:rFonts w:eastAsia="BatangChe"/>
          <w:sz w:val="24"/>
          <w:szCs w:val="24"/>
        </w:rPr>
        <w:t xml:space="preserve"> la gestion de portefeuilles</w:t>
      </w:r>
      <w:r w:rsidR="00163D56">
        <w:rPr>
          <w:rFonts w:eastAsia="BatangChe"/>
          <w:sz w:val="24"/>
          <w:szCs w:val="24"/>
        </w:rPr>
        <w:t>,</w:t>
      </w:r>
      <w:r>
        <w:rPr>
          <w:rFonts w:eastAsia="BatangChe"/>
          <w:sz w:val="24"/>
          <w:szCs w:val="24"/>
        </w:rPr>
        <w:t xml:space="preserve"> le conseil financier </w:t>
      </w:r>
      <w:r w:rsidR="00163D56">
        <w:rPr>
          <w:rFonts w:eastAsia="BatangChe"/>
          <w:sz w:val="24"/>
          <w:szCs w:val="24"/>
        </w:rPr>
        <w:t xml:space="preserve">(l’ingénierie </w:t>
      </w:r>
      <w:r>
        <w:rPr>
          <w:rFonts w:eastAsia="BatangChe"/>
          <w:sz w:val="24"/>
          <w:szCs w:val="24"/>
        </w:rPr>
        <w:t>financière</w:t>
      </w:r>
      <w:r w:rsidR="00163D56">
        <w:rPr>
          <w:rFonts w:eastAsia="BatangChe"/>
          <w:sz w:val="24"/>
          <w:szCs w:val="24"/>
        </w:rPr>
        <w:t>),</w:t>
      </w:r>
      <w:r>
        <w:rPr>
          <w:rFonts w:eastAsia="BatangChe"/>
          <w:sz w:val="24"/>
          <w:szCs w:val="24"/>
        </w:rPr>
        <w:t xml:space="preserve"> la banque assurances etc.</w:t>
      </w:r>
    </w:p>
    <w:p w:rsidR="001A669F" w:rsidRDefault="001A669F" w:rsidP="00A24CD9">
      <w:pPr>
        <w:jc w:val="both"/>
        <w:rPr>
          <w:rFonts w:eastAsia="BatangChe"/>
          <w:sz w:val="24"/>
          <w:szCs w:val="24"/>
        </w:rPr>
      </w:pPr>
      <w:r>
        <w:rPr>
          <w:rFonts w:eastAsia="BatangChe"/>
          <w:sz w:val="24"/>
          <w:szCs w:val="24"/>
        </w:rPr>
        <w:t>Les établissements de crédit sont de</w:t>
      </w:r>
      <w:r w:rsidR="00163D56">
        <w:rPr>
          <w:rFonts w:eastAsia="BatangChe"/>
          <w:sz w:val="24"/>
          <w:szCs w:val="24"/>
        </w:rPr>
        <w:t xml:space="preserve"> deux typ</w:t>
      </w:r>
      <w:r>
        <w:rPr>
          <w:rFonts w:eastAsia="BatangChe"/>
          <w:sz w:val="24"/>
          <w:szCs w:val="24"/>
        </w:rPr>
        <w:t>es</w:t>
      </w:r>
      <w:r w:rsidR="00163D56">
        <w:rPr>
          <w:rFonts w:eastAsia="BatangChe"/>
          <w:sz w:val="24"/>
          <w:szCs w:val="24"/>
        </w:rPr>
        <w:t> :</w:t>
      </w:r>
      <w:r>
        <w:rPr>
          <w:rFonts w:eastAsia="BatangChe"/>
          <w:sz w:val="24"/>
          <w:szCs w:val="24"/>
        </w:rPr>
        <w:t xml:space="preserve"> les banques</w:t>
      </w:r>
      <w:r w:rsidR="00163D56">
        <w:rPr>
          <w:rFonts w:eastAsia="BatangChe"/>
          <w:sz w:val="24"/>
          <w:szCs w:val="24"/>
        </w:rPr>
        <w:t>,</w:t>
      </w:r>
      <w:r>
        <w:rPr>
          <w:rFonts w:eastAsia="BatangChe"/>
          <w:sz w:val="24"/>
          <w:szCs w:val="24"/>
        </w:rPr>
        <w:t xml:space="preserve"> et les sociétés de financement</w:t>
      </w:r>
      <w:r w:rsidR="00163D56">
        <w:rPr>
          <w:rFonts w:eastAsia="BatangChe"/>
          <w:sz w:val="24"/>
          <w:szCs w:val="24"/>
        </w:rPr>
        <w:t>.</w:t>
      </w:r>
    </w:p>
    <w:p w:rsidR="001A669F" w:rsidRDefault="00E96C7A" w:rsidP="00A24CD9">
      <w:pPr>
        <w:jc w:val="both"/>
        <w:rPr>
          <w:rFonts w:eastAsia="BatangChe"/>
          <w:sz w:val="24"/>
          <w:szCs w:val="24"/>
        </w:rPr>
      </w:pPr>
      <w:r w:rsidRPr="00E96C7A">
        <w:rPr>
          <w:rFonts w:eastAsia="BatangChe"/>
          <w:b/>
          <w:bCs/>
          <w:sz w:val="24"/>
          <w:szCs w:val="24"/>
        </w:rPr>
        <w:lastRenderedPageBreak/>
        <w:t>Les</w:t>
      </w:r>
      <w:r w:rsidR="001A669F" w:rsidRPr="00E96C7A">
        <w:rPr>
          <w:rFonts w:eastAsia="BatangChe"/>
          <w:b/>
          <w:bCs/>
          <w:sz w:val="24"/>
          <w:szCs w:val="24"/>
        </w:rPr>
        <w:t xml:space="preserve"> banques </w:t>
      </w:r>
      <w:r w:rsidR="001A669F">
        <w:rPr>
          <w:rFonts w:eastAsia="BatangChe"/>
          <w:sz w:val="24"/>
          <w:szCs w:val="24"/>
        </w:rPr>
        <w:t>: ce sont des établissements de crédit qui peut faire toute</w:t>
      </w:r>
      <w:r w:rsidR="00163D56">
        <w:rPr>
          <w:rFonts w:eastAsia="BatangChe"/>
          <w:sz w:val="24"/>
          <w:szCs w:val="24"/>
        </w:rPr>
        <w:t>s les</w:t>
      </w:r>
      <w:r w:rsidR="001A669F">
        <w:rPr>
          <w:rFonts w:eastAsia="BatangChe"/>
          <w:sz w:val="24"/>
          <w:szCs w:val="24"/>
        </w:rPr>
        <w:t xml:space="preserve"> activité</w:t>
      </w:r>
      <w:r w:rsidR="00163D56">
        <w:rPr>
          <w:rFonts w:eastAsia="BatangChe"/>
          <w:sz w:val="24"/>
          <w:szCs w:val="24"/>
        </w:rPr>
        <w:t>s</w:t>
      </w:r>
      <w:r w:rsidR="001A669F">
        <w:rPr>
          <w:rFonts w:eastAsia="BatangChe"/>
          <w:sz w:val="24"/>
          <w:szCs w:val="24"/>
        </w:rPr>
        <w:t xml:space="preserve"> cité par la loi bancaire</w:t>
      </w:r>
      <w:r w:rsidR="00163D56">
        <w:rPr>
          <w:rFonts w:eastAsia="BatangChe"/>
          <w:sz w:val="24"/>
          <w:szCs w:val="24"/>
        </w:rPr>
        <w:t>,</w:t>
      </w:r>
      <w:r w:rsidR="001A669F">
        <w:rPr>
          <w:rFonts w:eastAsia="BatangChe"/>
          <w:sz w:val="24"/>
          <w:szCs w:val="24"/>
        </w:rPr>
        <w:t xml:space="preserve"> </w:t>
      </w:r>
      <w:r w:rsidR="00163D56">
        <w:rPr>
          <w:rFonts w:eastAsia="BatangChe"/>
          <w:sz w:val="24"/>
          <w:szCs w:val="24"/>
        </w:rPr>
        <w:t>(</w:t>
      </w:r>
      <w:r w:rsidR="001A669F">
        <w:rPr>
          <w:rFonts w:eastAsia="BatangChe"/>
          <w:sz w:val="24"/>
          <w:szCs w:val="24"/>
        </w:rPr>
        <w:t>les activités principales</w:t>
      </w:r>
      <w:r w:rsidR="00163D56">
        <w:rPr>
          <w:rFonts w:eastAsia="BatangChe"/>
          <w:sz w:val="24"/>
          <w:szCs w:val="24"/>
        </w:rPr>
        <w:t>,</w:t>
      </w:r>
      <w:r w:rsidR="001A669F">
        <w:rPr>
          <w:rFonts w:eastAsia="BatangChe"/>
          <w:sz w:val="24"/>
          <w:szCs w:val="24"/>
        </w:rPr>
        <w:t xml:space="preserve"> </w:t>
      </w:r>
      <w:r w:rsidR="00163D56">
        <w:rPr>
          <w:rFonts w:eastAsia="BatangChe"/>
          <w:sz w:val="24"/>
          <w:szCs w:val="24"/>
        </w:rPr>
        <w:t xml:space="preserve">les activités assimilées </w:t>
      </w:r>
      <w:r w:rsidR="00A24CD9">
        <w:rPr>
          <w:rFonts w:eastAsia="BatangChe"/>
          <w:sz w:val="24"/>
          <w:szCs w:val="24"/>
        </w:rPr>
        <w:t>au crédit</w:t>
      </w:r>
      <w:r w:rsidR="00163D56">
        <w:rPr>
          <w:rFonts w:eastAsia="BatangChe"/>
          <w:sz w:val="24"/>
          <w:szCs w:val="24"/>
        </w:rPr>
        <w:t>,</w:t>
      </w:r>
      <w:r w:rsidR="001A669F">
        <w:rPr>
          <w:rFonts w:eastAsia="BatangChe"/>
          <w:sz w:val="24"/>
          <w:szCs w:val="24"/>
        </w:rPr>
        <w:t xml:space="preserve"> et les opérations connexes</w:t>
      </w:r>
      <w:r w:rsidR="00163D56">
        <w:rPr>
          <w:rFonts w:eastAsia="BatangChe"/>
          <w:sz w:val="24"/>
          <w:szCs w:val="24"/>
        </w:rPr>
        <w:t>).</w:t>
      </w:r>
      <w:r w:rsidR="001A669F">
        <w:rPr>
          <w:rFonts w:eastAsia="BatangChe"/>
          <w:sz w:val="24"/>
          <w:szCs w:val="24"/>
        </w:rPr>
        <w:t xml:space="preserve"> </w:t>
      </w:r>
      <w:r>
        <w:rPr>
          <w:rFonts w:eastAsia="BatangChe"/>
          <w:sz w:val="24"/>
          <w:szCs w:val="24"/>
        </w:rPr>
        <w:t>L’objectif</w:t>
      </w:r>
      <w:r w:rsidR="001A669F">
        <w:rPr>
          <w:rFonts w:eastAsia="BatangChe"/>
          <w:sz w:val="24"/>
          <w:szCs w:val="24"/>
        </w:rPr>
        <w:t xml:space="preserve"> </w:t>
      </w:r>
      <w:r w:rsidR="00163D56">
        <w:rPr>
          <w:rFonts w:eastAsia="BatangChe"/>
          <w:sz w:val="24"/>
          <w:szCs w:val="24"/>
        </w:rPr>
        <w:t>est d’avoir une banque à statut</w:t>
      </w:r>
      <w:r w:rsidR="001A669F">
        <w:rPr>
          <w:rFonts w:eastAsia="BatangChe"/>
          <w:sz w:val="24"/>
          <w:szCs w:val="24"/>
        </w:rPr>
        <w:t xml:space="preserve"> universel</w:t>
      </w:r>
      <w:r w:rsidR="00163D56">
        <w:rPr>
          <w:rFonts w:eastAsia="BatangChe"/>
          <w:sz w:val="24"/>
          <w:szCs w:val="24"/>
        </w:rPr>
        <w:t>,</w:t>
      </w:r>
      <w:r w:rsidR="001A669F">
        <w:rPr>
          <w:rFonts w:eastAsia="BatangChe"/>
          <w:sz w:val="24"/>
          <w:szCs w:val="24"/>
        </w:rPr>
        <w:t xml:space="preserve"> qui doit donner lieu à un système bancaire concurrentiel pour financer l’économie dans les meilleures conditions</w:t>
      </w:r>
      <w:r w:rsidR="00163D56">
        <w:rPr>
          <w:rFonts w:eastAsia="BatangChe"/>
          <w:sz w:val="24"/>
          <w:szCs w:val="24"/>
        </w:rPr>
        <w:t>, et aussi mobiliser l’épargne</w:t>
      </w:r>
      <w:r w:rsidR="001A669F">
        <w:rPr>
          <w:rFonts w:eastAsia="BatangChe"/>
          <w:sz w:val="24"/>
          <w:szCs w:val="24"/>
        </w:rPr>
        <w:t xml:space="preserve"> dans les meilleures conditions possibles, la banque a le monopol</w:t>
      </w:r>
      <w:r w:rsidR="00163D56">
        <w:rPr>
          <w:rFonts w:eastAsia="BatangChe"/>
          <w:sz w:val="24"/>
          <w:szCs w:val="24"/>
        </w:rPr>
        <w:t>e de collecte des dépôts à vue ou d’un terme</w:t>
      </w:r>
      <w:r>
        <w:rPr>
          <w:rFonts w:eastAsia="BatangChe"/>
          <w:sz w:val="24"/>
          <w:szCs w:val="24"/>
        </w:rPr>
        <w:t xml:space="preserve"> inférieur ou</w:t>
      </w:r>
      <w:r w:rsidR="001A669F">
        <w:rPr>
          <w:rFonts w:eastAsia="BatangChe"/>
          <w:sz w:val="24"/>
          <w:szCs w:val="24"/>
        </w:rPr>
        <w:t xml:space="preserve"> égale à deux années.</w:t>
      </w:r>
    </w:p>
    <w:p w:rsidR="001A669F" w:rsidRDefault="00E520B7" w:rsidP="00BF353D">
      <w:pPr>
        <w:jc w:val="both"/>
        <w:rPr>
          <w:rFonts w:eastAsia="BatangChe"/>
          <w:sz w:val="24"/>
          <w:szCs w:val="24"/>
        </w:rPr>
      </w:pPr>
      <w:r w:rsidRPr="00E96C7A">
        <w:rPr>
          <w:rFonts w:eastAsia="BatangChe"/>
          <w:b/>
          <w:bCs/>
          <w:sz w:val="24"/>
          <w:szCs w:val="24"/>
        </w:rPr>
        <w:t>Les sociétés de financement</w:t>
      </w:r>
      <w:r w:rsidR="00E96C7A">
        <w:rPr>
          <w:rFonts w:eastAsia="BatangChe"/>
          <w:sz w:val="24"/>
          <w:szCs w:val="24"/>
        </w:rPr>
        <w:t> :</w:t>
      </w:r>
      <w:r>
        <w:rPr>
          <w:rFonts w:eastAsia="BatangChe"/>
          <w:sz w:val="24"/>
          <w:szCs w:val="24"/>
        </w:rPr>
        <w:t xml:space="preserve"> ce sont des établissements de crédit qui ne peuvent effectuer que l’activité cité dans leur agrément</w:t>
      </w:r>
      <w:r w:rsidR="00E96C7A">
        <w:rPr>
          <w:rFonts w:eastAsia="BatangChe"/>
          <w:sz w:val="24"/>
          <w:szCs w:val="24"/>
        </w:rPr>
        <w:t>, l</w:t>
      </w:r>
      <w:r>
        <w:rPr>
          <w:rFonts w:eastAsia="BatangChe"/>
          <w:sz w:val="24"/>
          <w:szCs w:val="24"/>
        </w:rPr>
        <w:t>es sociétés de financement sont spécialisées dans des a</w:t>
      </w:r>
      <w:r w:rsidR="00E96C7A">
        <w:rPr>
          <w:rFonts w:eastAsia="BatangChe"/>
          <w:sz w:val="24"/>
          <w:szCs w:val="24"/>
        </w:rPr>
        <w:t>ctivités données par</w:t>
      </w:r>
      <w:r>
        <w:rPr>
          <w:rFonts w:eastAsia="BatangChe"/>
          <w:sz w:val="24"/>
          <w:szCs w:val="24"/>
        </w:rPr>
        <w:t xml:space="preserve"> exemple les sociétés de financement spécialisé au crédit à la consommation</w:t>
      </w:r>
      <w:r w:rsidR="00E96C7A">
        <w:rPr>
          <w:rFonts w:eastAsia="BatangChe"/>
          <w:sz w:val="24"/>
          <w:szCs w:val="24"/>
        </w:rPr>
        <w:t>,</w:t>
      </w:r>
      <w:r>
        <w:rPr>
          <w:rFonts w:eastAsia="BatangChe"/>
          <w:sz w:val="24"/>
          <w:szCs w:val="24"/>
        </w:rPr>
        <w:t xml:space="preserve"> des sociétés de finan</w:t>
      </w:r>
      <w:r w:rsidR="00E96C7A">
        <w:rPr>
          <w:rFonts w:eastAsia="BatangChe"/>
          <w:sz w:val="24"/>
          <w:szCs w:val="24"/>
        </w:rPr>
        <w:t>cement spécialisé dans le leasing (Maroc leasing),</w:t>
      </w:r>
      <w:r>
        <w:rPr>
          <w:rFonts w:eastAsia="BatangChe"/>
          <w:sz w:val="24"/>
          <w:szCs w:val="24"/>
        </w:rPr>
        <w:t xml:space="preserve"> d</w:t>
      </w:r>
      <w:r w:rsidR="00E96C7A">
        <w:rPr>
          <w:rFonts w:eastAsia="BatangChe"/>
          <w:sz w:val="24"/>
          <w:szCs w:val="24"/>
        </w:rPr>
        <w:t>es sociétés spécialisées dans l’affactura</w:t>
      </w:r>
      <w:r>
        <w:rPr>
          <w:rFonts w:eastAsia="BatangChe"/>
          <w:sz w:val="24"/>
          <w:szCs w:val="24"/>
        </w:rPr>
        <w:t>ge</w:t>
      </w:r>
      <w:r>
        <w:rPr>
          <w:rStyle w:val="Appelnotedebasdep"/>
          <w:rFonts w:eastAsia="BatangChe"/>
          <w:sz w:val="24"/>
          <w:szCs w:val="24"/>
        </w:rPr>
        <w:footnoteReference w:id="6"/>
      </w:r>
      <w:r w:rsidR="00E96C7A">
        <w:rPr>
          <w:rFonts w:eastAsia="BatangChe"/>
          <w:sz w:val="24"/>
          <w:szCs w:val="24"/>
        </w:rPr>
        <w:t>.</w:t>
      </w:r>
      <w:r>
        <w:rPr>
          <w:rFonts w:eastAsia="BatangChe"/>
          <w:sz w:val="24"/>
          <w:szCs w:val="24"/>
        </w:rPr>
        <w:t xml:space="preserve"> </w:t>
      </w:r>
      <w:r w:rsidR="00E96C7A">
        <w:rPr>
          <w:rFonts w:eastAsia="BatangChe"/>
          <w:sz w:val="24"/>
          <w:szCs w:val="24"/>
        </w:rPr>
        <w:t>Les</w:t>
      </w:r>
      <w:r>
        <w:rPr>
          <w:rFonts w:eastAsia="BatangChe"/>
          <w:sz w:val="24"/>
          <w:szCs w:val="24"/>
        </w:rPr>
        <w:t xml:space="preserve"> sociétés de financement n</w:t>
      </w:r>
      <w:r w:rsidR="00E96C7A">
        <w:rPr>
          <w:rFonts w:eastAsia="BatangChe"/>
          <w:sz w:val="24"/>
          <w:szCs w:val="24"/>
        </w:rPr>
        <w:t>’</w:t>
      </w:r>
      <w:r>
        <w:rPr>
          <w:rFonts w:eastAsia="BatangChe"/>
          <w:sz w:val="24"/>
          <w:szCs w:val="24"/>
        </w:rPr>
        <w:t>on</w:t>
      </w:r>
      <w:r w:rsidR="00E96C7A">
        <w:rPr>
          <w:rFonts w:eastAsia="BatangChe"/>
          <w:sz w:val="24"/>
          <w:szCs w:val="24"/>
        </w:rPr>
        <w:t>t</w:t>
      </w:r>
      <w:r>
        <w:rPr>
          <w:rFonts w:eastAsia="BatangChe"/>
          <w:sz w:val="24"/>
          <w:szCs w:val="24"/>
        </w:rPr>
        <w:t xml:space="preserve"> pas le droit de</w:t>
      </w:r>
      <w:r w:rsidR="00E96C7A">
        <w:rPr>
          <w:rFonts w:eastAsia="BatangChe"/>
          <w:sz w:val="24"/>
          <w:szCs w:val="24"/>
        </w:rPr>
        <w:t xml:space="preserve"> collecter les dépôts à vue ou d’un terme inf</w:t>
      </w:r>
      <w:r w:rsidR="00BF353D">
        <w:rPr>
          <w:rFonts w:eastAsia="BatangChe"/>
          <w:sz w:val="24"/>
          <w:szCs w:val="24"/>
        </w:rPr>
        <w:t>érieure ou égale à deux années. Donc pas de gestion de comptes.</w:t>
      </w:r>
    </w:p>
    <w:p w:rsidR="00BF353D" w:rsidRDefault="00BF353D" w:rsidP="00BF353D">
      <w:pPr>
        <w:jc w:val="both"/>
        <w:rPr>
          <w:rFonts w:eastAsia="BatangChe"/>
          <w:sz w:val="24"/>
          <w:szCs w:val="24"/>
        </w:rPr>
      </w:pPr>
      <w:r>
        <w:rPr>
          <w:rFonts w:eastAsia="BatangChe"/>
          <w:sz w:val="24"/>
          <w:szCs w:val="24"/>
        </w:rPr>
        <w:t>Leur financement se fait principalement par l’émission des BSF sur le marché monétaire (marché interbancaire, marché du trésor public, et marché des TCN).</w:t>
      </w:r>
    </w:p>
    <w:p w:rsidR="00C5154D" w:rsidRDefault="00BF353D" w:rsidP="00C5154D">
      <w:pPr>
        <w:jc w:val="both"/>
        <w:rPr>
          <w:rFonts w:eastAsia="BatangChe"/>
          <w:sz w:val="24"/>
          <w:szCs w:val="24"/>
        </w:rPr>
      </w:pPr>
      <w:r w:rsidRPr="00BF353D">
        <w:rPr>
          <w:rFonts w:eastAsia="BatangChe"/>
          <w:b/>
          <w:bCs/>
          <w:sz w:val="24"/>
          <w:szCs w:val="24"/>
        </w:rPr>
        <w:t>La banque centrale :</w:t>
      </w:r>
      <w:r>
        <w:rPr>
          <w:rFonts w:eastAsia="BatangChe"/>
          <w:b/>
          <w:bCs/>
          <w:sz w:val="24"/>
          <w:szCs w:val="24"/>
        </w:rPr>
        <w:t xml:space="preserve"> </w:t>
      </w:r>
      <w:r>
        <w:rPr>
          <w:rFonts w:eastAsia="BatangChe"/>
          <w:sz w:val="24"/>
          <w:szCs w:val="24"/>
        </w:rPr>
        <w:t>le statut de la banque centrale a comme objectif d’</w:t>
      </w:r>
      <w:r w:rsidRPr="00BF353D">
        <w:rPr>
          <w:rFonts w:eastAsia="BatangChe"/>
          <w:sz w:val="24"/>
          <w:szCs w:val="24"/>
          <w:u w:val="single"/>
        </w:rPr>
        <w:t>élargir son champ d’activité</w:t>
      </w:r>
      <w:r>
        <w:rPr>
          <w:rFonts w:eastAsia="BatangChe"/>
          <w:sz w:val="24"/>
          <w:szCs w:val="24"/>
        </w:rPr>
        <w:t xml:space="preserve"> (le contrôle), en intégrant le CDG</w:t>
      </w:r>
      <w:r w:rsidR="00C5154D">
        <w:rPr>
          <w:rFonts w:eastAsia="BatangChe"/>
          <w:sz w:val="24"/>
          <w:szCs w:val="24"/>
        </w:rPr>
        <w:t xml:space="preserve">, le service financier de BARID AL MAGHRIB, la CCG, et les associations de la micro finance. Actuellement, seul le trésor public est exclu de ce contrôle. L’autre objectif de ce nouveau statut est de </w:t>
      </w:r>
      <w:r w:rsidR="00C5154D" w:rsidRPr="00C5154D">
        <w:rPr>
          <w:rFonts w:eastAsia="BatangChe"/>
          <w:sz w:val="24"/>
          <w:szCs w:val="24"/>
          <w:u w:val="single"/>
        </w:rPr>
        <w:t>renforcer le pouvoir de la banque central dans l’élaboration des orientations de la politique monétaire</w:t>
      </w:r>
      <w:r w:rsidR="00C5154D">
        <w:rPr>
          <w:rFonts w:eastAsia="BatangChe"/>
          <w:sz w:val="24"/>
          <w:szCs w:val="24"/>
        </w:rPr>
        <w:t xml:space="preserve">. </w:t>
      </w:r>
    </w:p>
    <w:p w:rsidR="00C5154D" w:rsidRDefault="00B10A41" w:rsidP="00C5154D">
      <w:pPr>
        <w:jc w:val="both"/>
        <w:rPr>
          <w:rFonts w:eastAsia="BatangChe"/>
          <w:sz w:val="24"/>
          <w:szCs w:val="24"/>
        </w:rPr>
      </w:pPr>
      <w:r w:rsidRPr="00B10A41">
        <w:rPr>
          <w:rFonts w:eastAsia="BatangChe"/>
          <w:b/>
          <w:bCs/>
          <w:noProof/>
          <w:sz w:val="24"/>
          <w:szCs w:val="24"/>
          <w:lang w:eastAsia="fr-FR"/>
        </w:rPr>
        <w:pict>
          <v:shape id="_x0000_s1053" type="#_x0000_t32" style="position:absolute;left:0;text-align:left;margin-left:88.15pt;margin-top:11.25pt;width:14.25pt;height:.05pt;z-index:251679744" o:connectortype="straight">
            <v:stroke endarrow="block"/>
          </v:shape>
        </w:pict>
      </w:r>
      <w:r w:rsidRPr="00B10A41">
        <w:rPr>
          <w:rFonts w:eastAsia="BatangChe"/>
          <w:b/>
          <w:bCs/>
          <w:noProof/>
          <w:sz w:val="24"/>
          <w:szCs w:val="24"/>
          <w:lang w:eastAsia="fr-FR"/>
        </w:rPr>
        <w:pict>
          <v:shape id="_x0000_s1054" type="#_x0000_t32" style="position:absolute;left:0;text-align:left;margin-left:320.65pt;margin-top:11.4pt;width:14.25pt;height:.05pt;z-index:251680768" o:connectortype="straight">
            <v:stroke endarrow="block"/>
          </v:shape>
        </w:pict>
      </w:r>
      <w:r w:rsidR="00C5154D">
        <w:rPr>
          <w:rFonts w:eastAsia="BatangChe"/>
          <w:sz w:val="24"/>
          <w:szCs w:val="24"/>
        </w:rPr>
        <w:t>(Banque centrale      politique monétaire ; ministère des finances      politique budgétaire).</w:t>
      </w:r>
    </w:p>
    <w:p w:rsidR="00C5154D" w:rsidRDefault="00C5154D" w:rsidP="00C5154D">
      <w:pPr>
        <w:jc w:val="both"/>
        <w:rPr>
          <w:rFonts w:eastAsia="BatangChe"/>
          <w:sz w:val="24"/>
          <w:szCs w:val="24"/>
        </w:rPr>
      </w:pPr>
      <w:r>
        <w:rPr>
          <w:rFonts w:eastAsia="BatangChe"/>
          <w:sz w:val="24"/>
          <w:szCs w:val="24"/>
        </w:rPr>
        <w:t>Les</w:t>
      </w:r>
      <w:r w:rsidR="00401560">
        <w:rPr>
          <w:rFonts w:eastAsia="BatangChe"/>
          <w:sz w:val="24"/>
          <w:szCs w:val="24"/>
        </w:rPr>
        <w:t xml:space="preserve"> principales</w:t>
      </w:r>
      <w:r>
        <w:rPr>
          <w:rFonts w:eastAsia="BatangChe"/>
          <w:sz w:val="24"/>
          <w:szCs w:val="24"/>
        </w:rPr>
        <w:t xml:space="preserve"> fonctions de la banque centrale </w:t>
      </w:r>
      <w:r w:rsidR="00401560">
        <w:rPr>
          <w:rFonts w:eastAsia="BatangChe"/>
          <w:sz w:val="24"/>
          <w:szCs w:val="24"/>
        </w:rPr>
        <w:t>sont :</w:t>
      </w:r>
    </w:p>
    <w:p w:rsidR="00401560" w:rsidRDefault="00401560" w:rsidP="0002021D">
      <w:pPr>
        <w:pStyle w:val="Paragraphedeliste"/>
        <w:numPr>
          <w:ilvl w:val="0"/>
          <w:numId w:val="35"/>
        </w:numPr>
        <w:jc w:val="both"/>
        <w:rPr>
          <w:rFonts w:eastAsia="BatangChe"/>
          <w:sz w:val="24"/>
          <w:szCs w:val="24"/>
        </w:rPr>
      </w:pPr>
      <w:r>
        <w:rPr>
          <w:rFonts w:eastAsia="BatangChe"/>
          <w:sz w:val="24"/>
          <w:szCs w:val="24"/>
        </w:rPr>
        <w:t xml:space="preserve">L’autorité monétaire : le contrôle monétaire qui se fait sur place par des inspecteurs, et sur pièce sur </w:t>
      </w:r>
      <w:r w:rsidR="00892462">
        <w:rPr>
          <w:rFonts w:eastAsia="BatangChe"/>
          <w:sz w:val="24"/>
          <w:szCs w:val="24"/>
        </w:rPr>
        <w:t>la documentation comptable. (il</w:t>
      </w:r>
      <w:r>
        <w:rPr>
          <w:rFonts w:eastAsia="BatangChe"/>
          <w:sz w:val="24"/>
          <w:szCs w:val="24"/>
        </w:rPr>
        <w:t xml:space="preserve"> y a</w:t>
      </w:r>
      <w:r w:rsidR="00892462">
        <w:rPr>
          <w:rFonts w:eastAsia="BatangChe"/>
          <w:sz w:val="24"/>
          <w:szCs w:val="24"/>
        </w:rPr>
        <w:t xml:space="preserve"> un problème d’information</w:t>
      </w:r>
      <w:r>
        <w:rPr>
          <w:rFonts w:eastAsia="BatangChe"/>
          <w:sz w:val="24"/>
          <w:szCs w:val="24"/>
        </w:rPr>
        <w:t>).</w:t>
      </w:r>
    </w:p>
    <w:p w:rsidR="00401560" w:rsidRDefault="00892462" w:rsidP="0002021D">
      <w:pPr>
        <w:pStyle w:val="Paragraphedeliste"/>
        <w:numPr>
          <w:ilvl w:val="0"/>
          <w:numId w:val="35"/>
        </w:numPr>
        <w:jc w:val="both"/>
        <w:rPr>
          <w:rFonts w:eastAsia="BatangChe"/>
          <w:sz w:val="24"/>
          <w:szCs w:val="24"/>
        </w:rPr>
      </w:pPr>
      <w:r>
        <w:rPr>
          <w:rFonts w:eastAsia="BatangChe"/>
          <w:sz w:val="24"/>
          <w:szCs w:val="24"/>
        </w:rPr>
        <w:t>C’est la banque de l’E</w:t>
      </w:r>
      <w:r w:rsidR="00401560">
        <w:rPr>
          <w:rFonts w:eastAsia="BatangChe"/>
          <w:sz w:val="24"/>
          <w:szCs w:val="24"/>
        </w:rPr>
        <w:t>tat : la banque centrale gère le compte du trésor public</w:t>
      </w:r>
      <w:r>
        <w:rPr>
          <w:rFonts w:eastAsia="BatangChe"/>
          <w:sz w:val="24"/>
          <w:szCs w:val="24"/>
        </w:rPr>
        <w:t>,</w:t>
      </w:r>
      <w:r w:rsidR="00401560">
        <w:rPr>
          <w:rFonts w:eastAsia="BatangChe"/>
          <w:sz w:val="24"/>
          <w:szCs w:val="24"/>
        </w:rPr>
        <w:t xml:space="preserve"> est et pa</w:t>
      </w:r>
      <w:r>
        <w:rPr>
          <w:rFonts w:eastAsia="BatangChe"/>
          <w:sz w:val="24"/>
          <w:szCs w:val="24"/>
        </w:rPr>
        <w:t xml:space="preserve">rticipe aussi à son financement, </w:t>
      </w:r>
      <w:r w:rsidR="00401560">
        <w:rPr>
          <w:rFonts w:eastAsia="BatangChe"/>
          <w:sz w:val="24"/>
          <w:szCs w:val="24"/>
        </w:rPr>
        <w:t>pas de manière directe mais sur le marché monétaire.</w:t>
      </w:r>
    </w:p>
    <w:p w:rsidR="00903035" w:rsidRDefault="00892462" w:rsidP="0002021D">
      <w:pPr>
        <w:pStyle w:val="Paragraphedeliste"/>
        <w:numPr>
          <w:ilvl w:val="0"/>
          <w:numId w:val="35"/>
        </w:numPr>
        <w:jc w:val="both"/>
        <w:rPr>
          <w:rFonts w:eastAsia="BatangChe"/>
          <w:sz w:val="24"/>
          <w:szCs w:val="24"/>
        </w:rPr>
      </w:pPr>
      <w:r>
        <w:rPr>
          <w:rFonts w:eastAsia="BatangChe"/>
          <w:sz w:val="24"/>
          <w:szCs w:val="24"/>
        </w:rPr>
        <w:t>C’est la banqu</w:t>
      </w:r>
      <w:r w:rsidR="00903035">
        <w:rPr>
          <w:rFonts w:eastAsia="BatangChe"/>
          <w:sz w:val="24"/>
          <w:szCs w:val="24"/>
        </w:rPr>
        <w:t>e des autres banques</w:t>
      </w:r>
      <w:r>
        <w:rPr>
          <w:rFonts w:eastAsia="BatangChe"/>
          <w:sz w:val="24"/>
          <w:szCs w:val="24"/>
        </w:rPr>
        <w:t> : elle gère</w:t>
      </w:r>
      <w:r w:rsidR="00903035">
        <w:rPr>
          <w:rFonts w:eastAsia="BatangChe"/>
          <w:sz w:val="24"/>
          <w:szCs w:val="24"/>
        </w:rPr>
        <w:t xml:space="preserve"> leurs comptes courants qui doivent être toujours crédit</w:t>
      </w:r>
      <w:r>
        <w:rPr>
          <w:rFonts w:eastAsia="BatangChe"/>
          <w:sz w:val="24"/>
          <w:szCs w:val="24"/>
        </w:rPr>
        <w:t>eur Pour faciliter la compensation quotidienne et</w:t>
      </w:r>
      <w:r w:rsidR="00903035">
        <w:rPr>
          <w:rFonts w:eastAsia="BatangChe"/>
          <w:sz w:val="24"/>
          <w:szCs w:val="24"/>
        </w:rPr>
        <w:t xml:space="preserve"> maîtriser l’inflation</w:t>
      </w:r>
      <w:r>
        <w:rPr>
          <w:rFonts w:eastAsia="BatangChe"/>
          <w:sz w:val="24"/>
          <w:szCs w:val="24"/>
        </w:rPr>
        <w:t>.</w:t>
      </w:r>
      <w:r w:rsidR="00903035">
        <w:rPr>
          <w:rFonts w:eastAsia="BatangChe"/>
          <w:sz w:val="24"/>
          <w:szCs w:val="24"/>
        </w:rPr>
        <w:t xml:space="preserve"> elle doit aussi</w:t>
      </w:r>
      <w:r>
        <w:rPr>
          <w:rFonts w:eastAsia="BatangChe"/>
          <w:sz w:val="24"/>
          <w:szCs w:val="24"/>
        </w:rPr>
        <w:t xml:space="preserve"> les </w:t>
      </w:r>
      <w:r w:rsidR="00903035">
        <w:rPr>
          <w:rFonts w:eastAsia="BatangChe"/>
          <w:sz w:val="24"/>
          <w:szCs w:val="24"/>
        </w:rPr>
        <w:t xml:space="preserve"> refinancer </w:t>
      </w:r>
      <w:r>
        <w:rPr>
          <w:rFonts w:eastAsia="BatangChe"/>
          <w:sz w:val="24"/>
          <w:szCs w:val="24"/>
        </w:rPr>
        <w:t>(</w:t>
      </w:r>
      <w:r w:rsidR="00903035">
        <w:rPr>
          <w:rFonts w:eastAsia="BatangChe"/>
          <w:sz w:val="24"/>
          <w:szCs w:val="24"/>
        </w:rPr>
        <w:t>pas directement mais sur le marché monétaire</w:t>
      </w:r>
      <w:r>
        <w:rPr>
          <w:rFonts w:eastAsia="BatangChe"/>
          <w:sz w:val="24"/>
          <w:szCs w:val="24"/>
        </w:rPr>
        <w:t>)</w:t>
      </w:r>
      <w:r w:rsidR="00903035">
        <w:rPr>
          <w:rFonts w:eastAsia="BatangChe"/>
          <w:sz w:val="24"/>
          <w:szCs w:val="24"/>
        </w:rPr>
        <w:t>.</w:t>
      </w:r>
    </w:p>
    <w:p w:rsidR="00903035" w:rsidRDefault="00903035" w:rsidP="0002021D">
      <w:pPr>
        <w:pStyle w:val="Paragraphedeliste"/>
        <w:numPr>
          <w:ilvl w:val="0"/>
          <w:numId w:val="35"/>
        </w:numPr>
        <w:jc w:val="both"/>
        <w:rPr>
          <w:rFonts w:eastAsia="BatangChe"/>
          <w:sz w:val="24"/>
          <w:szCs w:val="24"/>
        </w:rPr>
      </w:pPr>
      <w:r>
        <w:rPr>
          <w:rFonts w:eastAsia="BatangChe"/>
          <w:sz w:val="24"/>
          <w:szCs w:val="24"/>
        </w:rPr>
        <w:t>L’élaboration de la politique monétaire</w:t>
      </w:r>
      <w:r w:rsidR="00A24B71">
        <w:rPr>
          <w:rFonts w:eastAsia="BatangChe"/>
          <w:sz w:val="24"/>
          <w:szCs w:val="24"/>
        </w:rPr>
        <w:t> :</w:t>
      </w:r>
      <w:r>
        <w:rPr>
          <w:rFonts w:eastAsia="BatangChe"/>
          <w:sz w:val="24"/>
          <w:szCs w:val="24"/>
        </w:rPr>
        <w:t xml:space="preserve"> en consultation avec le gouvernement </w:t>
      </w:r>
      <w:r w:rsidR="00A24B71">
        <w:rPr>
          <w:rFonts w:eastAsia="BatangChe"/>
          <w:sz w:val="24"/>
          <w:szCs w:val="24"/>
        </w:rPr>
        <w:t>(</w:t>
      </w:r>
      <w:r>
        <w:rPr>
          <w:rFonts w:eastAsia="BatangChe"/>
          <w:sz w:val="24"/>
          <w:szCs w:val="24"/>
        </w:rPr>
        <w:t>ministère des finances</w:t>
      </w:r>
      <w:r w:rsidR="00A24B71">
        <w:rPr>
          <w:rFonts w:eastAsia="BatangChe"/>
          <w:sz w:val="24"/>
          <w:szCs w:val="24"/>
        </w:rPr>
        <w:t>),</w:t>
      </w:r>
      <w:r>
        <w:rPr>
          <w:rFonts w:eastAsia="BatangChe"/>
          <w:sz w:val="24"/>
          <w:szCs w:val="24"/>
        </w:rPr>
        <w:t xml:space="preserve"> les organes de consultation et les organes de représentation.</w:t>
      </w:r>
    </w:p>
    <w:p w:rsidR="00A24B71" w:rsidRDefault="00A24B71" w:rsidP="0002021D">
      <w:pPr>
        <w:pStyle w:val="Paragraphedeliste"/>
        <w:numPr>
          <w:ilvl w:val="0"/>
          <w:numId w:val="35"/>
        </w:numPr>
        <w:jc w:val="both"/>
        <w:rPr>
          <w:rFonts w:eastAsia="BatangChe"/>
          <w:sz w:val="24"/>
          <w:szCs w:val="24"/>
        </w:rPr>
      </w:pPr>
      <w:r>
        <w:rPr>
          <w:rFonts w:eastAsia="BatangChe"/>
          <w:sz w:val="24"/>
          <w:szCs w:val="24"/>
        </w:rPr>
        <w:lastRenderedPageBreak/>
        <w:t>l</w:t>
      </w:r>
      <w:r w:rsidR="00903035">
        <w:rPr>
          <w:rFonts w:eastAsia="BatangChe"/>
          <w:sz w:val="24"/>
          <w:szCs w:val="24"/>
        </w:rPr>
        <w:t>e change</w:t>
      </w:r>
      <w:r>
        <w:rPr>
          <w:rFonts w:eastAsia="BatangChe"/>
          <w:sz w:val="24"/>
          <w:szCs w:val="24"/>
        </w:rPr>
        <w:t> : en l’absence d’un marché de change</w:t>
      </w:r>
      <w:r w:rsidR="00903035">
        <w:rPr>
          <w:rFonts w:eastAsia="BatangChe"/>
          <w:sz w:val="24"/>
          <w:szCs w:val="24"/>
        </w:rPr>
        <w:t xml:space="preserve"> dynamique c’est la banque centrale qui gère le stock de devises existant à peu près </w:t>
      </w:r>
      <w:r>
        <w:rPr>
          <w:rFonts w:eastAsia="BatangChe"/>
          <w:sz w:val="24"/>
          <w:szCs w:val="24"/>
        </w:rPr>
        <w:t xml:space="preserve">96 %. </w:t>
      </w:r>
      <w:r>
        <w:rPr>
          <w:rStyle w:val="Appelnotedebasdep"/>
          <w:rFonts w:eastAsia="BatangChe"/>
          <w:sz w:val="24"/>
          <w:szCs w:val="24"/>
        </w:rPr>
        <w:footnoteReference w:id="7"/>
      </w:r>
    </w:p>
    <w:p w:rsidR="00A24B71" w:rsidRPr="00A24B71" w:rsidRDefault="00A24B71" w:rsidP="00A24B71">
      <w:pPr>
        <w:pStyle w:val="Paragraphedeliste"/>
        <w:jc w:val="both"/>
        <w:rPr>
          <w:rFonts w:eastAsia="BatangChe"/>
          <w:sz w:val="24"/>
          <w:szCs w:val="24"/>
        </w:rPr>
      </w:pPr>
    </w:p>
    <w:p w:rsidR="006D5A0C" w:rsidRDefault="006D5A0C" w:rsidP="0002021D">
      <w:pPr>
        <w:pStyle w:val="Paragraphedeliste"/>
        <w:numPr>
          <w:ilvl w:val="0"/>
          <w:numId w:val="7"/>
        </w:numPr>
        <w:jc w:val="both"/>
        <w:rPr>
          <w:rFonts w:eastAsia="BatangChe"/>
          <w:color w:val="FFC000"/>
          <w:sz w:val="32"/>
          <w:szCs w:val="32"/>
        </w:rPr>
      </w:pPr>
      <w:r w:rsidRPr="006D5A0C">
        <w:rPr>
          <w:rFonts w:eastAsia="BatangChe"/>
          <w:color w:val="FFC000"/>
          <w:sz w:val="32"/>
          <w:szCs w:val="32"/>
        </w:rPr>
        <w:t>la politique monétaire</w:t>
      </w:r>
    </w:p>
    <w:p w:rsidR="006D5A0C" w:rsidRDefault="00ED4D99" w:rsidP="006D5A0C">
      <w:pPr>
        <w:jc w:val="both"/>
        <w:rPr>
          <w:rFonts w:eastAsia="BatangChe"/>
          <w:sz w:val="24"/>
          <w:szCs w:val="24"/>
        </w:rPr>
      </w:pPr>
      <w:r>
        <w:rPr>
          <w:rFonts w:eastAsia="BatangChe"/>
          <w:sz w:val="24"/>
          <w:szCs w:val="24"/>
        </w:rPr>
        <w:t xml:space="preserve">La politique monétaire </w:t>
      </w:r>
      <w:r w:rsidR="006D5A0C" w:rsidRPr="00C42EA8">
        <w:rPr>
          <w:rFonts w:eastAsia="BatangChe"/>
          <w:sz w:val="24"/>
          <w:szCs w:val="24"/>
        </w:rPr>
        <w:t xml:space="preserve">est une composante essentielle de la politique économique. C’est </w:t>
      </w:r>
      <w:r>
        <w:rPr>
          <w:rFonts w:eastAsia="BatangChe"/>
          <w:sz w:val="24"/>
          <w:szCs w:val="24"/>
        </w:rPr>
        <w:t xml:space="preserve">une politique conjoncturelle, </w:t>
      </w:r>
      <w:r w:rsidR="006D5A0C" w:rsidRPr="00C42EA8">
        <w:rPr>
          <w:rFonts w:eastAsia="BatangChe"/>
          <w:sz w:val="24"/>
          <w:szCs w:val="24"/>
        </w:rPr>
        <w:t>elle peut être défini comme un ensemble de mesures</w:t>
      </w:r>
      <w:r w:rsidR="00C42EA8" w:rsidRPr="00C42EA8">
        <w:rPr>
          <w:rFonts w:eastAsia="BatangChe"/>
          <w:sz w:val="24"/>
          <w:szCs w:val="24"/>
        </w:rPr>
        <w:t xml:space="preserve"> prises par le pouvoir public</w:t>
      </w:r>
      <w:r>
        <w:rPr>
          <w:rFonts w:eastAsia="BatangChe"/>
          <w:sz w:val="24"/>
          <w:szCs w:val="24"/>
        </w:rPr>
        <w:t>,</w:t>
      </w:r>
      <w:r w:rsidR="00C42EA8" w:rsidRPr="00C42EA8">
        <w:rPr>
          <w:rFonts w:eastAsia="BatangChe"/>
          <w:sz w:val="24"/>
          <w:szCs w:val="24"/>
        </w:rPr>
        <w:t xml:space="preserve"> représenté par les autorités monétaires</w:t>
      </w:r>
      <w:r>
        <w:rPr>
          <w:rFonts w:eastAsia="BatangChe"/>
          <w:sz w:val="24"/>
          <w:szCs w:val="24"/>
        </w:rPr>
        <w:t xml:space="preserve"> essentiellement la banqu</w:t>
      </w:r>
      <w:r w:rsidR="00C42EA8" w:rsidRPr="00C42EA8">
        <w:rPr>
          <w:rFonts w:eastAsia="BatangChe"/>
          <w:sz w:val="24"/>
          <w:szCs w:val="24"/>
        </w:rPr>
        <w:t>e</w:t>
      </w:r>
      <w:r>
        <w:rPr>
          <w:rFonts w:eastAsia="BatangChe"/>
          <w:sz w:val="24"/>
          <w:szCs w:val="24"/>
        </w:rPr>
        <w:t xml:space="preserve"> centrale pour</w:t>
      </w:r>
      <w:r w:rsidR="00F6085C">
        <w:rPr>
          <w:rFonts w:eastAsia="BatangChe"/>
          <w:sz w:val="24"/>
          <w:szCs w:val="24"/>
        </w:rPr>
        <w:t xml:space="preserve"> atteindre l</w:t>
      </w:r>
      <w:r w:rsidR="00C42EA8" w:rsidRPr="00C42EA8">
        <w:rPr>
          <w:rFonts w:eastAsia="BatangChe"/>
          <w:sz w:val="24"/>
          <w:szCs w:val="24"/>
        </w:rPr>
        <w:t xml:space="preserve">es objectifs macroéconomiques </w:t>
      </w:r>
      <w:r>
        <w:rPr>
          <w:rFonts w:eastAsia="BatangChe"/>
          <w:sz w:val="24"/>
          <w:szCs w:val="24"/>
        </w:rPr>
        <w:t>(</w:t>
      </w:r>
      <w:r w:rsidR="00C42EA8" w:rsidRPr="00C42EA8">
        <w:rPr>
          <w:rFonts w:eastAsia="BatangChe"/>
          <w:sz w:val="24"/>
          <w:szCs w:val="24"/>
        </w:rPr>
        <w:t>le carré magique</w:t>
      </w:r>
      <w:r>
        <w:rPr>
          <w:rFonts w:eastAsia="BatangChe"/>
          <w:sz w:val="24"/>
          <w:szCs w:val="24"/>
        </w:rPr>
        <w:t>)</w:t>
      </w:r>
      <w:r w:rsidR="00C42EA8">
        <w:rPr>
          <w:rFonts w:eastAsia="BatangChe"/>
          <w:sz w:val="24"/>
          <w:szCs w:val="24"/>
        </w:rPr>
        <w:t>.</w:t>
      </w:r>
    </w:p>
    <w:p w:rsidR="00C42EA8" w:rsidRDefault="00C42EA8" w:rsidP="006D5A0C">
      <w:pPr>
        <w:jc w:val="both"/>
        <w:rPr>
          <w:rFonts w:eastAsia="BatangChe"/>
          <w:sz w:val="24"/>
          <w:szCs w:val="24"/>
        </w:rPr>
      </w:pPr>
    </w:p>
    <w:p w:rsidR="00C42EA8" w:rsidRPr="00C42EA8" w:rsidRDefault="00C42EA8" w:rsidP="006D5A0C">
      <w:pPr>
        <w:jc w:val="both"/>
        <w:rPr>
          <w:rFonts w:eastAsia="BatangChe"/>
          <w:sz w:val="24"/>
          <w:szCs w:val="24"/>
        </w:rPr>
      </w:pPr>
      <w:r>
        <w:rPr>
          <w:rFonts w:eastAsia="BatangChe"/>
          <w:noProof/>
          <w:sz w:val="24"/>
          <w:szCs w:val="24"/>
          <w:lang w:eastAsia="fr-FR"/>
        </w:rPr>
        <w:drawing>
          <wp:inline distT="0" distB="0" distL="0" distR="0">
            <wp:extent cx="6429375" cy="4314825"/>
            <wp:effectExtent l="38100" t="0" r="9525"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1017A6" w:rsidRPr="001017A6" w:rsidRDefault="001017A6" w:rsidP="00A24CD9">
      <w:pPr>
        <w:pStyle w:val="Paragraphedeliste"/>
        <w:ind w:left="765"/>
        <w:jc w:val="both"/>
        <w:rPr>
          <w:rFonts w:eastAsia="BatangChe"/>
        </w:rPr>
      </w:pPr>
    </w:p>
    <w:p w:rsidR="00D70ED4" w:rsidRDefault="00F0507F" w:rsidP="00F0507F">
      <w:pPr>
        <w:jc w:val="both"/>
      </w:pPr>
      <w:r>
        <w:t>A</w:t>
      </w:r>
      <w:r w:rsidR="009B0F0D">
        <w:t xml:space="preserve">ctuellement la banque centrale </w:t>
      </w:r>
      <w:r>
        <w:t xml:space="preserve"> agi</w:t>
      </w:r>
      <w:r w:rsidR="009B0F0D">
        <w:t>t</w:t>
      </w:r>
      <w:r>
        <w:t xml:space="preserve"> sur deux variables monétaires à savoir</w:t>
      </w:r>
      <w:r w:rsidR="009B0F0D">
        <w:t> :</w:t>
      </w:r>
      <w:r>
        <w:t xml:space="preserve"> la liquidité bancaire et le taux de refinancement c’est ce qu’on appelle les objectifs opérationnels. C’est deux variables sont liés.</w:t>
      </w:r>
    </w:p>
    <w:p w:rsidR="009040A2" w:rsidRDefault="009040A2" w:rsidP="00F0507F">
      <w:pPr>
        <w:jc w:val="both"/>
      </w:pPr>
    </w:p>
    <w:p w:rsidR="009040A2" w:rsidRDefault="009040A2" w:rsidP="00F0507F">
      <w:pPr>
        <w:jc w:val="both"/>
      </w:pPr>
    </w:p>
    <w:p w:rsidR="00F0507F" w:rsidRPr="009B0F0D" w:rsidRDefault="00F0507F" w:rsidP="0002021D">
      <w:pPr>
        <w:pStyle w:val="Paragraphedeliste"/>
        <w:numPr>
          <w:ilvl w:val="0"/>
          <w:numId w:val="36"/>
        </w:numPr>
        <w:jc w:val="both"/>
        <w:rPr>
          <w:color w:val="F79646" w:themeColor="accent6"/>
        </w:rPr>
      </w:pPr>
      <w:r w:rsidRPr="009B0F0D">
        <w:rPr>
          <w:color w:val="F79646" w:themeColor="accent6"/>
        </w:rPr>
        <w:lastRenderedPageBreak/>
        <w:t>La liquidité bancaire</w:t>
      </w:r>
    </w:p>
    <w:p w:rsidR="004F17ED" w:rsidRDefault="004F17ED" w:rsidP="009B0F0D">
      <w:pPr>
        <w:jc w:val="both"/>
      </w:pPr>
      <w:r>
        <w:t xml:space="preserve">C’est la quantité de monnaie centrale que possèdent les banques, </w:t>
      </w:r>
      <w:r w:rsidR="009B0F0D">
        <w:t>elle est</w:t>
      </w:r>
      <w:r>
        <w:t xml:space="preserve"> co</w:t>
      </w:r>
      <w:r w:rsidR="009B0F0D">
        <w:t>nstituée</w:t>
      </w:r>
      <w:r>
        <w:t xml:space="preserve"> de de</w:t>
      </w:r>
      <w:r w:rsidR="009B0F0D">
        <w:t>ux</w:t>
      </w:r>
      <w:r>
        <w:t xml:space="preserve"> composants</w:t>
      </w:r>
      <w:r w:rsidR="009B0F0D">
        <w:t xml:space="preserve"> : </w:t>
      </w:r>
      <w:r>
        <w:t xml:space="preserve">Les encaisses </w:t>
      </w:r>
      <w:r w:rsidR="009B0F0D">
        <w:t>bancaires, et les sold</w:t>
      </w:r>
      <w:r>
        <w:t xml:space="preserve">es </w:t>
      </w:r>
      <w:r w:rsidR="009B0F0D">
        <w:t>cr</w:t>
      </w:r>
      <w:r>
        <w:t>éditeurs des comptes courants bancaires auprès de la banque centrale.</w:t>
      </w:r>
    </w:p>
    <w:p w:rsidR="004F17ED" w:rsidRDefault="004F17ED" w:rsidP="00F0507F">
      <w:pPr>
        <w:jc w:val="both"/>
      </w:pPr>
      <w:r>
        <w:t>La banque centrale peut agir sur cette liquidité (soit à la hausse soit à la baisse) en fonction de ses objectifs</w:t>
      </w:r>
      <w:r w:rsidR="009B0F0D">
        <w:t>,</w:t>
      </w:r>
      <w:r>
        <w:t xml:space="preserve"> par les instruments suivants :</w:t>
      </w:r>
    </w:p>
    <w:p w:rsidR="009B0F0D" w:rsidRDefault="004F17ED" w:rsidP="0002021D">
      <w:pPr>
        <w:pStyle w:val="Paragraphedeliste"/>
        <w:numPr>
          <w:ilvl w:val="0"/>
          <w:numId w:val="40"/>
        </w:numPr>
        <w:jc w:val="both"/>
      </w:pPr>
      <w:r w:rsidRPr="00B03837">
        <w:rPr>
          <w:color w:val="984806" w:themeColor="accent6" w:themeShade="80"/>
        </w:rPr>
        <w:t>La réserve monétaire réserves obligatoires</w:t>
      </w:r>
    </w:p>
    <w:p w:rsidR="004F17ED" w:rsidRDefault="004F17ED" w:rsidP="00EA0A89">
      <w:pPr>
        <w:jc w:val="both"/>
      </w:pPr>
      <w:r>
        <w:t xml:space="preserve"> </w:t>
      </w:r>
      <w:r w:rsidR="009B0F0D">
        <w:t>C’est</w:t>
      </w:r>
      <w:r>
        <w:t xml:space="preserve"> une quantité de monnaie centrale</w:t>
      </w:r>
      <w:r w:rsidR="008C2EA3">
        <w:t>,</w:t>
      </w:r>
      <w:r>
        <w:t xml:space="preserve"> que les </w:t>
      </w:r>
      <w:r w:rsidR="009B0F0D">
        <w:t>banques doivent avoir</w:t>
      </w:r>
      <w:r w:rsidR="008C2EA3">
        <w:t>,</w:t>
      </w:r>
      <w:r w:rsidR="009B0F0D">
        <w:t xml:space="preserve"> en permanence</w:t>
      </w:r>
      <w:r w:rsidR="008C2EA3">
        <w:t>,</w:t>
      </w:r>
      <w:r>
        <w:t xml:space="preserve"> auprès de la banque centrale</w:t>
      </w:r>
      <w:r w:rsidR="005C16D8">
        <w:rPr>
          <w:rStyle w:val="Appelnotedebasdep"/>
        </w:rPr>
        <w:footnoteReference w:id="8"/>
      </w:r>
      <w:r w:rsidR="008C2EA3">
        <w:t>.</w:t>
      </w:r>
      <w:r>
        <w:t xml:space="preserve"> </w:t>
      </w:r>
      <w:r w:rsidR="008C2EA3">
        <w:t>La</w:t>
      </w:r>
      <w:r>
        <w:t xml:space="preserve"> liquidité de cette réserve varie en fonction des objectifs de </w:t>
      </w:r>
      <w:r w:rsidR="009B0F0D">
        <w:t>la politique monétaire</w:t>
      </w:r>
      <w:r w:rsidR="008C2EA3">
        <w:t>.</w:t>
      </w:r>
      <w:r w:rsidR="009B0F0D">
        <w:t xml:space="preserve"> </w:t>
      </w:r>
      <w:r w:rsidR="008C2EA3">
        <w:t>Elle</w:t>
      </w:r>
      <w:r w:rsidR="009B0F0D">
        <w:t xml:space="preserve"> </w:t>
      </w:r>
      <w:r>
        <w:t>es</w:t>
      </w:r>
      <w:r w:rsidR="009B0F0D">
        <w:t>t</w:t>
      </w:r>
      <w:r>
        <w:t xml:space="preserve"> calculé</w:t>
      </w:r>
      <w:r w:rsidR="009B0F0D">
        <w:t>e</w:t>
      </w:r>
      <w:r>
        <w:t xml:space="preserve"> sur la base des deux variables suivant</w:t>
      </w:r>
      <w:r w:rsidR="009B0F0D">
        <w:t> :</w:t>
      </w:r>
    </w:p>
    <w:p w:rsidR="004F17ED" w:rsidRDefault="008C2EA3" w:rsidP="00EA0A89">
      <w:pPr>
        <w:jc w:val="both"/>
      </w:pPr>
      <w:r w:rsidRPr="008C2EA3">
        <w:rPr>
          <w:u w:val="single"/>
        </w:rPr>
        <w:t xml:space="preserve">Le </w:t>
      </w:r>
      <w:r w:rsidR="004F17ED" w:rsidRPr="008C2EA3">
        <w:rPr>
          <w:u w:val="single"/>
        </w:rPr>
        <w:t>t</w:t>
      </w:r>
      <w:r w:rsidRPr="008C2EA3">
        <w:rPr>
          <w:u w:val="single"/>
        </w:rPr>
        <w:t>aux</w:t>
      </w:r>
      <w:r w:rsidR="004F17ED" w:rsidRPr="008C2EA3">
        <w:rPr>
          <w:u w:val="single"/>
        </w:rPr>
        <w:t xml:space="preserve"> de la réserve</w:t>
      </w:r>
      <w:r>
        <w:t> :</w:t>
      </w:r>
      <w:r w:rsidR="004F17ED">
        <w:t xml:space="preserve"> qui varie en fonction des objectifs de la banque centrale il est actuellement de 15 % de l’assiette.</w:t>
      </w:r>
    </w:p>
    <w:p w:rsidR="00B03837" w:rsidRDefault="00B03837" w:rsidP="00EA0A89">
      <w:pPr>
        <w:pStyle w:val="Notedebasdepage"/>
        <w:jc w:val="both"/>
        <w:rPr>
          <w:sz w:val="22"/>
          <w:szCs w:val="22"/>
        </w:rPr>
      </w:pPr>
      <w:r w:rsidRPr="00B03837">
        <w:rPr>
          <w:sz w:val="22"/>
          <w:szCs w:val="22"/>
          <w:u w:val="single"/>
        </w:rPr>
        <w:t>L’assiette</w:t>
      </w:r>
      <w:r w:rsidRPr="00B03837">
        <w:rPr>
          <w:sz w:val="22"/>
          <w:szCs w:val="22"/>
        </w:rPr>
        <w:t> : c’est la base de calcul de la réserve moné</w:t>
      </w:r>
      <w:r>
        <w:rPr>
          <w:sz w:val="22"/>
          <w:szCs w:val="22"/>
        </w:rPr>
        <w:t>taire el le est</w:t>
      </w:r>
      <w:r w:rsidRPr="00B03837">
        <w:rPr>
          <w:sz w:val="22"/>
          <w:szCs w:val="22"/>
        </w:rPr>
        <w:t xml:space="preserve"> actuellement constitué</w:t>
      </w:r>
      <w:r>
        <w:rPr>
          <w:sz w:val="22"/>
          <w:szCs w:val="22"/>
        </w:rPr>
        <w:t>e</w:t>
      </w:r>
      <w:r w:rsidRPr="00B03837">
        <w:rPr>
          <w:sz w:val="22"/>
          <w:szCs w:val="22"/>
        </w:rPr>
        <w:t xml:space="preserve"> des exigibilités à vue et à court terme</w:t>
      </w:r>
      <w:r>
        <w:rPr>
          <w:sz w:val="22"/>
          <w:szCs w:val="22"/>
        </w:rPr>
        <w:t>,</w:t>
      </w:r>
      <w:r w:rsidRPr="00B03837">
        <w:rPr>
          <w:sz w:val="22"/>
          <w:szCs w:val="22"/>
        </w:rPr>
        <w:t xml:space="preserve"> c’est-à-dire les dépôts à vu</w:t>
      </w:r>
      <w:r>
        <w:rPr>
          <w:sz w:val="22"/>
          <w:szCs w:val="22"/>
        </w:rPr>
        <w:t>e et les dépôts à court terme. On p</w:t>
      </w:r>
      <w:r w:rsidRPr="00B03837">
        <w:rPr>
          <w:sz w:val="22"/>
          <w:szCs w:val="22"/>
        </w:rPr>
        <w:t>e</w:t>
      </w:r>
      <w:r>
        <w:rPr>
          <w:sz w:val="22"/>
          <w:szCs w:val="22"/>
        </w:rPr>
        <w:t>ut</w:t>
      </w:r>
      <w:r w:rsidRPr="00B03837">
        <w:rPr>
          <w:sz w:val="22"/>
          <w:szCs w:val="22"/>
        </w:rPr>
        <w:t xml:space="preserve"> l’élargir en cas d’inflation</w:t>
      </w:r>
      <w:r>
        <w:rPr>
          <w:sz w:val="22"/>
          <w:szCs w:val="22"/>
        </w:rPr>
        <w:t>,</w:t>
      </w:r>
      <w:r w:rsidRPr="00B03837">
        <w:rPr>
          <w:sz w:val="22"/>
          <w:szCs w:val="22"/>
        </w:rPr>
        <w:t xml:space="preserve"> ou au contraire en cas de so</w:t>
      </w:r>
      <w:r>
        <w:rPr>
          <w:sz w:val="22"/>
          <w:szCs w:val="22"/>
        </w:rPr>
        <w:t xml:space="preserve">us </w:t>
      </w:r>
      <w:r w:rsidRPr="00B03837">
        <w:rPr>
          <w:sz w:val="22"/>
          <w:szCs w:val="22"/>
        </w:rPr>
        <w:t>li</w:t>
      </w:r>
      <w:r>
        <w:rPr>
          <w:sz w:val="22"/>
          <w:szCs w:val="22"/>
        </w:rPr>
        <w:t>qui</w:t>
      </w:r>
      <w:r w:rsidRPr="00B03837">
        <w:rPr>
          <w:sz w:val="22"/>
          <w:szCs w:val="22"/>
        </w:rPr>
        <w:t>d</w:t>
      </w:r>
      <w:r>
        <w:rPr>
          <w:sz w:val="22"/>
          <w:szCs w:val="22"/>
        </w:rPr>
        <w:t>ité et 10 p</w:t>
      </w:r>
      <w:r w:rsidRPr="00B03837">
        <w:rPr>
          <w:sz w:val="22"/>
          <w:szCs w:val="22"/>
        </w:rPr>
        <w:t>ou</w:t>
      </w:r>
      <w:r>
        <w:rPr>
          <w:sz w:val="22"/>
          <w:szCs w:val="22"/>
        </w:rPr>
        <w:t>r</w:t>
      </w:r>
      <w:r w:rsidRPr="00B03837">
        <w:rPr>
          <w:sz w:val="22"/>
          <w:szCs w:val="22"/>
        </w:rPr>
        <w:t xml:space="preserve"> ne </w:t>
      </w:r>
      <w:r>
        <w:rPr>
          <w:sz w:val="22"/>
          <w:szCs w:val="22"/>
        </w:rPr>
        <w:t>garder que les dépôts à vu.</w:t>
      </w:r>
    </w:p>
    <w:p w:rsidR="00B03837" w:rsidRPr="00B03837" w:rsidRDefault="00B03837" w:rsidP="00EA0A89">
      <w:pPr>
        <w:pStyle w:val="Notedebasdepage"/>
        <w:jc w:val="both"/>
        <w:rPr>
          <w:sz w:val="22"/>
          <w:szCs w:val="22"/>
        </w:rPr>
      </w:pPr>
    </w:p>
    <w:p w:rsidR="00630491" w:rsidRDefault="004F17ED" w:rsidP="0002021D">
      <w:pPr>
        <w:pStyle w:val="Paragraphedeliste"/>
        <w:numPr>
          <w:ilvl w:val="0"/>
          <w:numId w:val="40"/>
        </w:numPr>
        <w:jc w:val="both"/>
      </w:pPr>
      <w:r w:rsidRPr="00B03837">
        <w:rPr>
          <w:color w:val="984806" w:themeColor="accent6" w:themeShade="80"/>
        </w:rPr>
        <w:t>L</w:t>
      </w:r>
      <w:r w:rsidR="001F3E2D" w:rsidRPr="00B03837">
        <w:rPr>
          <w:color w:val="984806" w:themeColor="accent6" w:themeShade="80"/>
        </w:rPr>
        <w:t xml:space="preserve">’open </w:t>
      </w:r>
      <w:r w:rsidRPr="00B03837">
        <w:rPr>
          <w:color w:val="984806" w:themeColor="accent6" w:themeShade="80"/>
        </w:rPr>
        <w:t>market</w:t>
      </w:r>
      <w:r w:rsidR="001F3E2D" w:rsidRPr="00B03837">
        <w:t> </w:t>
      </w:r>
      <w:r w:rsidR="001F3E2D">
        <w:t>(le</w:t>
      </w:r>
      <w:r>
        <w:t xml:space="preserve"> marché ouvert</w:t>
      </w:r>
      <w:r w:rsidR="001F3E2D">
        <w:t xml:space="preserve">) : </w:t>
      </w:r>
    </w:p>
    <w:p w:rsidR="004F17ED" w:rsidRDefault="00630491" w:rsidP="00EA0A89">
      <w:pPr>
        <w:jc w:val="both"/>
      </w:pPr>
      <w:r>
        <w:t>Toujours</w:t>
      </w:r>
      <w:r w:rsidR="004F17ED">
        <w:t xml:space="preserve"> dans l’objectif de la régulation de la liquidité</w:t>
      </w:r>
      <w:r w:rsidR="001F3E2D">
        <w:t>, c’est une opération d’</w:t>
      </w:r>
      <w:r w:rsidR="004F17ED">
        <w:t>achat ou de vente des titres publics aux banques par la banque centrale</w:t>
      </w:r>
      <w:r w:rsidR="001F3E2D">
        <w:t xml:space="preserve">. </w:t>
      </w:r>
      <w:r>
        <w:t>S’il</w:t>
      </w:r>
      <w:r w:rsidR="001F3E2D">
        <w:t xml:space="preserve"> y a sur</w:t>
      </w:r>
      <w:r w:rsidR="004F17ED">
        <w:t>liquidités</w:t>
      </w:r>
      <w:r w:rsidR="001F3E2D">
        <w:t>,</w:t>
      </w:r>
      <w:r w:rsidR="004F17ED">
        <w:t xml:space="preserve"> la banque centrale va l’éponge</w:t>
      </w:r>
      <w:r w:rsidR="001F3E2D">
        <w:t>r</w:t>
      </w:r>
      <w:r w:rsidR="004F17ED">
        <w:t xml:space="preserve"> et l’absorber par la vente des titres publics</w:t>
      </w:r>
      <w:r w:rsidR="001F3E2D">
        <w:t>,</w:t>
      </w:r>
      <w:r w:rsidR="004F17ED">
        <w:t xml:space="preserve"> et dans le cas de</w:t>
      </w:r>
      <w:r w:rsidR="001F3E2D">
        <w:t xml:space="preserve"> sous liquidités</w:t>
      </w:r>
      <w:r w:rsidR="004F17ED">
        <w:t xml:space="preserve"> la banque va procéder par l’ac</w:t>
      </w:r>
      <w:r w:rsidR="001F3E2D">
        <w:t>hat de ces titres publics. L’open</w:t>
      </w:r>
      <w:r w:rsidR="004F17ED">
        <w:t xml:space="preserve"> market se fait sur le marché monétaire</w:t>
      </w:r>
      <w:r w:rsidR="001F3E2D">
        <w:t>.</w:t>
      </w:r>
      <w:r w:rsidR="004F17ED">
        <w:t xml:space="preserve"> </w:t>
      </w:r>
      <w:r w:rsidR="001F3E2D">
        <w:t>Pour</w:t>
      </w:r>
      <w:r w:rsidR="004F17ED">
        <w:t xml:space="preserve"> l’efficacité de ces techniques il faut</w:t>
      </w:r>
      <w:r w:rsidR="001F3E2D">
        <w:t> :</w:t>
      </w:r>
    </w:p>
    <w:p w:rsidR="001F3E2D" w:rsidRDefault="004F17ED" w:rsidP="0002021D">
      <w:pPr>
        <w:pStyle w:val="Paragraphedeliste"/>
        <w:numPr>
          <w:ilvl w:val="0"/>
          <w:numId w:val="21"/>
        </w:numPr>
        <w:jc w:val="both"/>
      </w:pPr>
      <w:r>
        <w:t>Un marché monétaire dynamique</w:t>
      </w:r>
      <w:r w:rsidR="001F3E2D">
        <w:t>.</w:t>
      </w:r>
    </w:p>
    <w:p w:rsidR="004F17ED" w:rsidRDefault="004F17ED" w:rsidP="0002021D">
      <w:pPr>
        <w:pStyle w:val="Paragraphedeliste"/>
        <w:numPr>
          <w:ilvl w:val="0"/>
          <w:numId w:val="21"/>
        </w:numPr>
        <w:jc w:val="both"/>
      </w:pPr>
      <w:r>
        <w:t>Les banques doivent avoir un portefeuille</w:t>
      </w:r>
      <w:r w:rsidR="001F3E2D">
        <w:t xml:space="preserve"> de titres publics importants.</w:t>
      </w:r>
    </w:p>
    <w:p w:rsidR="00630006" w:rsidRDefault="001F3E2D" w:rsidP="00EA0A89">
      <w:pPr>
        <w:jc w:val="both"/>
      </w:pPr>
      <w:r>
        <w:t>NB la technique d’op</w:t>
      </w:r>
      <w:r w:rsidR="00630006">
        <w:t>e</w:t>
      </w:r>
      <w:r>
        <w:t>n</w:t>
      </w:r>
      <w:r w:rsidR="00630006">
        <w:t xml:space="preserve"> market a deux objectifs :</w:t>
      </w:r>
    </w:p>
    <w:p w:rsidR="001F3E2D" w:rsidRDefault="00630006" w:rsidP="0002021D">
      <w:pPr>
        <w:pStyle w:val="Paragraphedeliste"/>
        <w:numPr>
          <w:ilvl w:val="0"/>
          <w:numId w:val="38"/>
        </w:numPr>
        <w:jc w:val="both"/>
      </w:pPr>
      <w:r>
        <w:t>La rég</w:t>
      </w:r>
      <w:r w:rsidR="001F3E2D">
        <w:t>ulation de la liquidité bancaire</w:t>
      </w:r>
    </w:p>
    <w:p w:rsidR="00630006" w:rsidRDefault="001F3E2D" w:rsidP="0002021D">
      <w:pPr>
        <w:pStyle w:val="Paragraphedeliste"/>
        <w:numPr>
          <w:ilvl w:val="0"/>
          <w:numId w:val="38"/>
        </w:numPr>
        <w:jc w:val="both"/>
      </w:pPr>
      <w:r>
        <w:t>Et un objectif indirect qui est</w:t>
      </w:r>
      <w:r w:rsidR="00630006">
        <w:t xml:space="preserve"> le financement du trésor public</w:t>
      </w:r>
      <w:r>
        <w:t>.</w:t>
      </w:r>
    </w:p>
    <w:p w:rsidR="00630006" w:rsidRDefault="00630006" w:rsidP="00EA0A89">
      <w:pPr>
        <w:jc w:val="both"/>
      </w:pPr>
      <w:r>
        <w:t>Pour les</w:t>
      </w:r>
      <w:r w:rsidR="001F3E2D">
        <w:t xml:space="preserve"> banques</w:t>
      </w:r>
      <w:r>
        <w:t xml:space="preserve"> </w:t>
      </w:r>
      <w:r w:rsidR="001F3E2D">
        <w:t>l’importance</w:t>
      </w:r>
      <w:r>
        <w:t xml:space="preserve"> de ce portefeuille</w:t>
      </w:r>
      <w:r w:rsidR="001F3E2D">
        <w:t> :</w:t>
      </w:r>
    </w:p>
    <w:p w:rsidR="001F3E2D" w:rsidRDefault="00630006" w:rsidP="0002021D">
      <w:pPr>
        <w:pStyle w:val="Paragraphedeliste"/>
        <w:numPr>
          <w:ilvl w:val="0"/>
          <w:numId w:val="39"/>
        </w:numPr>
        <w:jc w:val="both"/>
      </w:pPr>
      <w:r>
        <w:t>C’est une possibilité de placement</w:t>
      </w:r>
      <w:r w:rsidR="001F3E2D">
        <w:t>.</w:t>
      </w:r>
    </w:p>
    <w:p w:rsidR="00630006" w:rsidRDefault="00630006" w:rsidP="0002021D">
      <w:pPr>
        <w:pStyle w:val="Paragraphedeliste"/>
        <w:numPr>
          <w:ilvl w:val="0"/>
          <w:numId w:val="39"/>
        </w:numPr>
        <w:jc w:val="both"/>
      </w:pPr>
      <w:r>
        <w:t>d’avoir un support titre pour être financé sur le marché monétaire</w:t>
      </w:r>
      <w:r>
        <w:rPr>
          <w:rStyle w:val="Appelnotedebasdep"/>
        </w:rPr>
        <w:footnoteReference w:id="9"/>
      </w:r>
    </w:p>
    <w:p w:rsidR="009040A2" w:rsidRDefault="009040A2" w:rsidP="009040A2">
      <w:pPr>
        <w:pStyle w:val="Paragraphedeliste"/>
        <w:jc w:val="both"/>
      </w:pPr>
    </w:p>
    <w:p w:rsidR="009040A2" w:rsidRDefault="009040A2" w:rsidP="009040A2">
      <w:pPr>
        <w:pStyle w:val="Paragraphedeliste"/>
        <w:jc w:val="both"/>
      </w:pPr>
    </w:p>
    <w:p w:rsidR="009040A2" w:rsidRDefault="009040A2" w:rsidP="009040A2">
      <w:pPr>
        <w:pStyle w:val="Paragraphedeliste"/>
        <w:jc w:val="both"/>
      </w:pPr>
    </w:p>
    <w:p w:rsidR="00630006" w:rsidRPr="00B03837" w:rsidRDefault="00630491" w:rsidP="0002021D">
      <w:pPr>
        <w:pStyle w:val="Paragraphedeliste"/>
        <w:numPr>
          <w:ilvl w:val="0"/>
          <w:numId w:val="40"/>
        </w:numPr>
        <w:jc w:val="both"/>
        <w:rPr>
          <w:b/>
          <w:bCs/>
          <w:color w:val="984806" w:themeColor="accent6" w:themeShade="80"/>
        </w:rPr>
      </w:pPr>
      <w:r>
        <w:rPr>
          <w:b/>
          <w:bCs/>
          <w:color w:val="984806" w:themeColor="accent6" w:themeShade="80"/>
        </w:rPr>
        <w:lastRenderedPageBreak/>
        <w:t>l</w:t>
      </w:r>
      <w:r w:rsidR="00630006" w:rsidRPr="00B03837">
        <w:rPr>
          <w:b/>
          <w:bCs/>
          <w:color w:val="984806" w:themeColor="accent6" w:themeShade="80"/>
        </w:rPr>
        <w:t>es prises en pension</w:t>
      </w:r>
      <w:r>
        <w:rPr>
          <w:b/>
          <w:bCs/>
          <w:color w:val="984806" w:themeColor="accent6" w:themeShade="80"/>
        </w:rPr>
        <w:t xml:space="preserve"> </w:t>
      </w:r>
      <w:r w:rsidR="00630006" w:rsidRPr="00630491">
        <w:rPr>
          <w:b/>
          <w:bCs/>
          <w:color w:val="984806" w:themeColor="accent6" w:themeShade="80"/>
          <w:vertAlign w:val="superscript"/>
        </w:rPr>
        <w:footnoteReference w:id="10"/>
      </w:r>
    </w:p>
    <w:p w:rsidR="00630006" w:rsidRDefault="00630006" w:rsidP="00EA0A89">
      <w:pPr>
        <w:jc w:val="both"/>
      </w:pPr>
      <w:r>
        <w:t>En cas de Sur</w:t>
      </w:r>
      <w:r w:rsidR="00630491">
        <w:t>liquidité la banque centrale opère par des re</w:t>
      </w:r>
      <w:r>
        <w:t>prises de liquidités</w:t>
      </w:r>
      <w:r w:rsidR="00630491">
        <w:t>,</w:t>
      </w:r>
      <w:r>
        <w:t xml:space="preserve"> pendant des courtes périodes</w:t>
      </w:r>
      <w:r w:rsidR="00630491">
        <w:t>,</w:t>
      </w:r>
      <w:r>
        <w:t xml:space="preserve"> et ceux pour </w:t>
      </w:r>
      <w:r w:rsidR="00630491">
        <w:t>régul</w:t>
      </w:r>
      <w:r>
        <w:t>er la quantité de monnaie en circulation en fonction des objectifs de l’économie</w:t>
      </w:r>
      <w:r w:rsidR="00630491">
        <w:t>.</w:t>
      </w:r>
    </w:p>
    <w:p w:rsidR="00630006" w:rsidRDefault="00630006" w:rsidP="00EA0A89">
      <w:pPr>
        <w:jc w:val="both"/>
      </w:pPr>
      <w:r>
        <w:t>L’objectif de ces instruments c’est la régulation de la quantité de monnaie en circulation</w:t>
      </w:r>
      <w:r w:rsidR="00630491">
        <w:t>, mais aussi de rendre les</w:t>
      </w:r>
      <w:r>
        <w:t xml:space="preserve"> banque</w:t>
      </w:r>
      <w:r w:rsidR="00630491">
        <w:t>s</w:t>
      </w:r>
      <w:r>
        <w:t xml:space="preserve"> toujours dépendant</w:t>
      </w:r>
      <w:r w:rsidR="00630491">
        <w:t>es</w:t>
      </w:r>
      <w:r>
        <w:t xml:space="preserve"> de la banque centrale en matière de refinancement</w:t>
      </w:r>
      <w:r w:rsidR="00630491">
        <w:t>.</w:t>
      </w:r>
    </w:p>
    <w:p w:rsidR="00630006" w:rsidRPr="00B03837" w:rsidRDefault="00630006" w:rsidP="0002021D">
      <w:pPr>
        <w:pStyle w:val="Paragraphedeliste"/>
        <w:numPr>
          <w:ilvl w:val="0"/>
          <w:numId w:val="36"/>
        </w:numPr>
        <w:jc w:val="both"/>
        <w:rPr>
          <w:color w:val="F79646" w:themeColor="accent6"/>
        </w:rPr>
      </w:pPr>
      <w:r w:rsidRPr="00B03837">
        <w:rPr>
          <w:color w:val="F79646" w:themeColor="accent6"/>
        </w:rPr>
        <w:t>Le taux de refinancement</w:t>
      </w:r>
    </w:p>
    <w:p w:rsidR="00630006" w:rsidRDefault="00630491" w:rsidP="00EA0A89">
      <w:pPr>
        <w:jc w:val="both"/>
      </w:pPr>
      <w:r>
        <w:t>C’est  le taux</w:t>
      </w:r>
      <w:r w:rsidR="00630006">
        <w:t xml:space="preserve"> avec lequel les banques commerciales se refinancer auprès de la banque centrale</w:t>
      </w:r>
      <w:r>
        <w:t xml:space="preserve"> </w:t>
      </w:r>
      <w:r w:rsidR="00630006">
        <w:t>sur le marché monétaire</w:t>
      </w:r>
      <w:r>
        <w:t>. Ce refinancement se fai</w:t>
      </w:r>
      <w:r w:rsidR="00630006">
        <w:t xml:space="preserve">t actuellement par la technique d’avance sur </w:t>
      </w:r>
      <w:r>
        <w:t>7</w:t>
      </w:r>
      <w:r w:rsidR="00630006">
        <w:t xml:space="preserve"> jours</w:t>
      </w:r>
      <w:r w:rsidR="00E330AD">
        <w:rPr>
          <w:rStyle w:val="Appelnotedebasdep"/>
        </w:rPr>
        <w:footnoteReference w:id="11"/>
      </w:r>
      <w:r>
        <w:t>,</w:t>
      </w:r>
      <w:r w:rsidR="00630006">
        <w:t xml:space="preserve"> </w:t>
      </w:r>
      <w:r>
        <w:t xml:space="preserve">    5</w:t>
      </w:r>
      <w:r w:rsidR="00630006">
        <w:t xml:space="preserve"> jours et 24 </w:t>
      </w:r>
      <w:r>
        <w:t>heu</w:t>
      </w:r>
      <w:r w:rsidR="00630006">
        <w:t>r</w:t>
      </w:r>
      <w:r>
        <w:t xml:space="preserve">es </w:t>
      </w:r>
      <w:r w:rsidR="00731917">
        <w:t>(Le 5</w:t>
      </w:r>
      <w:r w:rsidR="00630006">
        <w:t xml:space="preserve"> jours e</w:t>
      </w:r>
      <w:r w:rsidR="00731917">
        <w:t>st</w:t>
      </w:r>
      <w:r w:rsidR="00630006">
        <w:t xml:space="preserve"> actuellement suspendu</w:t>
      </w:r>
      <w:r w:rsidR="00731917">
        <w:t>).</w:t>
      </w:r>
      <w:r w:rsidR="00630006">
        <w:t xml:space="preserve"> </w:t>
      </w:r>
      <w:r w:rsidR="00731917">
        <w:t>Le taux de refinancement le plus faible</w:t>
      </w:r>
      <w:r w:rsidR="00630006">
        <w:t xml:space="preserve"> c</w:t>
      </w:r>
      <w:r w:rsidR="00731917">
        <w:t xml:space="preserve">’est </w:t>
      </w:r>
      <w:r w:rsidR="00630006">
        <w:t>c</w:t>
      </w:r>
      <w:r w:rsidR="00731917">
        <w:t>elui</w:t>
      </w:r>
      <w:r w:rsidR="00630006">
        <w:t xml:space="preserve"> appliqué</w:t>
      </w:r>
      <w:r w:rsidR="00731917">
        <w:t xml:space="preserve"> aux</w:t>
      </w:r>
      <w:r w:rsidR="00630006">
        <w:t xml:space="preserve"> avance</w:t>
      </w:r>
      <w:r w:rsidR="00731917">
        <w:t>s</w:t>
      </w:r>
      <w:r w:rsidR="00630006">
        <w:t xml:space="preserve"> sur </w:t>
      </w:r>
      <w:r w:rsidR="00731917">
        <w:t>7</w:t>
      </w:r>
      <w:r w:rsidR="00630006">
        <w:t xml:space="preserve"> jours</w:t>
      </w:r>
      <w:r w:rsidR="00731917">
        <w:t>,</w:t>
      </w:r>
      <w:r w:rsidR="00630006">
        <w:t xml:space="preserve"> et le plus élevé ces c</w:t>
      </w:r>
      <w:r w:rsidR="00731917">
        <w:t>elui des</w:t>
      </w:r>
      <w:r w:rsidR="00630006">
        <w:t xml:space="preserve"> 24</w:t>
      </w:r>
      <w:r w:rsidR="00731917">
        <w:t>heures.</w:t>
      </w:r>
    </w:p>
    <w:p w:rsidR="00D03277" w:rsidRDefault="00D03277" w:rsidP="00EA0A89">
      <w:pPr>
        <w:jc w:val="both"/>
      </w:pPr>
    </w:p>
    <w:p w:rsidR="00E330AD" w:rsidRDefault="00B10A41" w:rsidP="00EA0A89">
      <w:pPr>
        <w:jc w:val="both"/>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8" type="#_x0000_t67" style="position:absolute;left:0;text-align:left;margin-left:166.9pt;margin-top:22.45pt;width:18pt;height:35.25pt;z-index:251687936" fillcolor="#9bbb59 [3206]" strokecolor="#f2f2f2 [3041]" strokeweight="3pt">
            <v:shadow on="t" type="perspective" color="#4e6128 [1606]" opacity=".5" offset="1pt" offset2="-1pt"/>
            <v:textbox style="layout-flow:vertical-ideographic"/>
          </v:shape>
        </w:pict>
      </w:r>
      <w:r>
        <w:rPr>
          <w:noProof/>
          <w:lang w:eastAsia="fr-FR"/>
        </w:rPr>
        <w:pict>
          <v:shape id="_x0000_s1069" type="#_x0000_t67" style="position:absolute;left:0;text-align:left;margin-left:184.9pt;margin-top:87.7pt;width:18pt;height:35.25pt;z-index:251688960" fillcolor="#9bbb59 [3206]" strokecolor="#f2f2f2 [3041]" strokeweight="3pt">
            <v:shadow on="t" type="perspective" color="#4e6128 [1606]" opacity=".5" offset="1pt" offset2="-1pt"/>
            <v:textbox style="layout-flow:vertical-ideographic"/>
          </v:shape>
        </w:pict>
      </w:r>
      <w:r>
        <w:rPr>
          <w:noProof/>
          <w:lang w:eastAsia="fr-FR"/>
        </w:rPr>
        <w:pict>
          <v:shape id="_x0000_s1070" type="#_x0000_t67" style="position:absolute;left:0;text-align:left;margin-left:221.65pt;margin-top:154.45pt;width:18pt;height:35.25pt;z-index:251689984" fillcolor="#9bbb59 [3206]" strokecolor="#f2f2f2 [3041]" strokeweight="3pt">
            <v:shadow on="t" type="perspective" color="#4e6128 [1606]" opacity=".5" offset="1pt" offset2="-1pt"/>
            <v:textbox style="layout-flow:vertical-ideographic"/>
          </v:shape>
        </w:pict>
      </w:r>
      <w:r>
        <w:rPr>
          <w:noProof/>
          <w:lang w:eastAsia="fr-FR"/>
        </w:rPr>
        <w:pict>
          <v:shape id="_x0000_s1063" type="#_x0000_t67" style="position:absolute;left:0;text-align:left;margin-left:253.9pt;margin-top:212.2pt;width:18pt;height:35.25pt;z-index:251682816" fillcolor="#9bbb59 [3206]" strokecolor="#f2f2f2 [3041]" strokeweight="3pt">
            <v:shadow on="t" type="perspective" color="#4e6128 [1606]" opacity=".5" offset="1pt" offset2="-1pt"/>
            <v:textbox style="layout-flow:vertical-ideographic"/>
          </v:shape>
        </w:pict>
      </w:r>
      <w:r>
        <w:rPr>
          <w:noProof/>
          <w:lang w:eastAsia="fr-FR"/>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66" type="#_x0000_t68" style="position:absolute;left:0;text-align:left;margin-left:102pt;margin-top:22.45pt;width:16.15pt;height:35.25pt;z-index:251685888" fillcolor="#c0504d [3205]" strokecolor="#f2f2f2 [3041]" strokeweight="3pt">
            <v:shadow on="t" type="perspective" color="#622423 [1605]" opacity=".5" offset="1pt" offset2="-1pt"/>
            <v:textbox style="layout-flow:vertical-ideographic"/>
          </v:shape>
        </w:pict>
      </w:r>
      <w:r>
        <w:rPr>
          <w:noProof/>
          <w:lang w:eastAsia="fr-FR"/>
        </w:rPr>
        <w:pict>
          <v:shape id="_x0000_s1067" type="#_x0000_t68" style="position:absolute;left:0;text-align:left;margin-left:64.55pt;margin-top:87.7pt;width:16.15pt;height:35.25pt;z-index:251686912" fillcolor="#c0504d [3205]" strokecolor="#f2f2f2 [3041]" strokeweight="3pt">
            <v:shadow on="t" type="perspective" color="#622423 [1605]" opacity=".5" offset="1pt" offset2="-1pt"/>
            <v:textbox style="layout-flow:vertical-ideographic"/>
          </v:shape>
        </w:pict>
      </w:r>
      <w:r>
        <w:rPr>
          <w:noProof/>
          <w:lang w:eastAsia="fr-FR"/>
        </w:rPr>
        <w:pict>
          <v:shape id="_x0000_s1065" type="#_x0000_t68" style="position:absolute;left:0;text-align:left;margin-left:29.65pt;margin-top:149.95pt;width:16.15pt;height:35.25pt;z-index:251684864" fillcolor="#c0504d [3205]" strokecolor="#f2f2f2 [3041]" strokeweight="3pt">
            <v:shadow on="t" type="perspective" color="#622423 [1605]" opacity=".5" offset="1pt" offset2="-1pt"/>
            <v:textbox style="layout-flow:vertical-ideographic"/>
          </v:shape>
        </w:pict>
      </w:r>
      <w:r>
        <w:rPr>
          <w:noProof/>
          <w:lang w:eastAsia="fr-FR"/>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64" type="#_x0000_t102" style="position:absolute;left:0;text-align:left;margin-left:-13.85pt;margin-top:224.95pt;width:38.25pt;height:120.75pt;z-index:251683840" adj=",18640,5565"/>
        </w:pict>
      </w:r>
      <w:r>
        <w:rPr>
          <w:noProof/>
          <w:lang w:eastAsia="fr-FR"/>
        </w:rPr>
        <w:pict>
          <v:shape id="_x0000_s1057" type="#_x0000_t68" style="position:absolute;left:0;text-align:left;margin-left:24.4pt;margin-top:212.2pt;width:16.15pt;height:35.25pt;z-index:251681792" fillcolor="#c0504d [3205]" strokecolor="#f2f2f2 [3041]" strokeweight="3pt">
            <v:shadow on="t" type="perspective" color="#622423 [1605]" opacity=".5" offset="1pt" offset2="-1pt"/>
            <v:textbox style="layout-flow:vertical-ideographic"/>
          </v:shape>
        </w:pict>
      </w:r>
      <w:r w:rsidR="00D03277">
        <w:rPr>
          <w:noProof/>
          <w:lang w:eastAsia="fr-FR"/>
        </w:rPr>
        <w:drawing>
          <wp:inline distT="0" distB="0" distL="0" distR="0">
            <wp:extent cx="5486400" cy="3200400"/>
            <wp:effectExtent l="19050" t="0" r="19050" b="0"/>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sidR="00630491">
        <w:t xml:space="preserve"> </w:t>
      </w:r>
    </w:p>
    <w:p w:rsidR="00E330AD" w:rsidRPr="00E330AD" w:rsidRDefault="00E330AD" w:rsidP="00EA0A89">
      <w:pPr>
        <w:jc w:val="both"/>
      </w:pPr>
    </w:p>
    <w:p w:rsidR="00E330AD" w:rsidRDefault="00E330AD" w:rsidP="00EA0A89">
      <w:pPr>
        <w:jc w:val="both"/>
      </w:pPr>
    </w:p>
    <w:p w:rsidR="00211F6A" w:rsidRDefault="00E330AD" w:rsidP="00EA0A89">
      <w:pPr>
        <w:ind w:firstLine="708"/>
        <w:jc w:val="both"/>
      </w:pPr>
      <w:r>
        <w:t>Si il baisse les autres aussi, et de ce fait le taux d’intérêt aussi (le tout est lié).</w:t>
      </w:r>
    </w:p>
    <w:p w:rsidR="00211F6A" w:rsidRDefault="00211F6A" w:rsidP="00EA0A89">
      <w:pPr>
        <w:jc w:val="both"/>
      </w:pPr>
      <w:r>
        <w:t>Le système bancaire est soumis, en  plus de la loi bancaire et des orientations de la politique monét</w:t>
      </w:r>
      <w:r w:rsidR="00652062">
        <w:t>aire, à un ensemble de règles p</w:t>
      </w:r>
      <w:r>
        <w:t>r</w:t>
      </w:r>
      <w:r w:rsidR="00652062">
        <w:t>udentielles qui peuvent être nationales</w:t>
      </w:r>
      <w:r>
        <w:t xml:space="preserve"> </w:t>
      </w:r>
      <w:r w:rsidR="00652062">
        <w:t>et parfois internationale (c</w:t>
      </w:r>
      <w:r>
        <w:t xml:space="preserve">’est le cas de </w:t>
      </w:r>
      <w:r w:rsidR="00652062">
        <w:t>Bâle</w:t>
      </w:r>
      <w:r>
        <w:t xml:space="preserve"> </w:t>
      </w:r>
      <w:r w:rsidR="00652062">
        <w:t>2) :</w:t>
      </w:r>
    </w:p>
    <w:p w:rsidR="00211F6A" w:rsidRPr="00652062" w:rsidRDefault="00211F6A" w:rsidP="0002021D">
      <w:pPr>
        <w:pStyle w:val="Paragraphedeliste"/>
        <w:numPr>
          <w:ilvl w:val="0"/>
          <w:numId w:val="41"/>
        </w:numPr>
        <w:jc w:val="both"/>
        <w:rPr>
          <w:color w:val="984806" w:themeColor="accent6" w:themeShade="80"/>
        </w:rPr>
      </w:pPr>
      <w:r w:rsidRPr="00652062">
        <w:rPr>
          <w:color w:val="984806" w:themeColor="accent6" w:themeShade="80"/>
        </w:rPr>
        <w:lastRenderedPageBreak/>
        <w:t>Le capital minimum</w:t>
      </w:r>
    </w:p>
    <w:p w:rsidR="00211F6A" w:rsidRDefault="00211F6A" w:rsidP="00EA0A89">
      <w:pPr>
        <w:jc w:val="both"/>
      </w:pPr>
      <w:r>
        <w:t>Celui –ci doit être au minimum de 200 000 000 de dirhams pour les banques qui reçoivent les fonds du public</w:t>
      </w:r>
      <w:r w:rsidR="00652062">
        <w:t>,</w:t>
      </w:r>
      <w:r>
        <w:t xml:space="preserve"> et 100 000 000 de dirhams</w:t>
      </w:r>
      <w:r w:rsidR="00652062">
        <w:t xml:space="preserve"> pour celles qui ne reçoivent pas des fo</w:t>
      </w:r>
      <w:r>
        <w:t>nd</w:t>
      </w:r>
      <w:r w:rsidR="00652062">
        <w:t>s d</w:t>
      </w:r>
      <w:r>
        <w:t>u public. Pour</w:t>
      </w:r>
      <w:r w:rsidR="00652062">
        <w:t xml:space="preserve"> les sociétés de financement leur </w:t>
      </w:r>
      <w:r w:rsidR="004F604B">
        <w:t xml:space="preserve"> capitale </w:t>
      </w:r>
      <w:r>
        <w:t xml:space="preserve"> varie de </w:t>
      </w:r>
      <w:r w:rsidR="004F604B">
        <w:t>50 M à un 1M</w:t>
      </w:r>
      <w:r>
        <w:t xml:space="preserve"> de dirhams selon l’activité de</w:t>
      </w:r>
      <w:r w:rsidR="004F604B">
        <w:t xml:space="preserve"> la société de financement.</w:t>
      </w:r>
    </w:p>
    <w:p w:rsidR="00211F6A" w:rsidRDefault="00211F6A" w:rsidP="0002021D">
      <w:pPr>
        <w:pStyle w:val="Paragraphedeliste"/>
        <w:numPr>
          <w:ilvl w:val="0"/>
          <w:numId w:val="41"/>
        </w:numPr>
        <w:jc w:val="both"/>
      </w:pPr>
      <w:r w:rsidRPr="004F604B">
        <w:rPr>
          <w:color w:val="984806" w:themeColor="accent6" w:themeShade="80"/>
        </w:rPr>
        <w:t>Le ratio de solvabilité</w:t>
      </w:r>
      <w:r>
        <w:t xml:space="preserve"> (</w:t>
      </w:r>
      <w:r w:rsidR="00EA0A89">
        <w:t>ratio de Bâle1 et de Bâle2</w:t>
      </w:r>
      <w:r>
        <w:t>)</w:t>
      </w:r>
    </w:p>
    <w:p w:rsidR="00211F6A" w:rsidRDefault="00EA0A89" w:rsidP="00EA0A89">
      <w:pPr>
        <w:jc w:val="both"/>
        <w:rPr>
          <w:rFonts w:eastAsiaTheme="minorEastAsia"/>
        </w:rPr>
      </w:pPr>
      <w:r>
        <w:t>Il vise</w:t>
      </w:r>
      <w:r w:rsidR="00211F6A">
        <w:t xml:space="preserve"> la solvabilité de la banque pour faire face à </w:t>
      </w:r>
      <w:r>
        <w:t>ces exigences et dans ce cas le</w:t>
      </w:r>
      <w:r w:rsidR="00211F6A">
        <w:t xml:space="preserve"> ratio est égale </w:t>
      </w:r>
      <m:oMath>
        <m:r>
          <m:rPr>
            <m:sty m:val="p"/>
          </m:rPr>
          <w:rPr>
            <w:rFonts w:ascii="Cambria Math" w:hAnsi="Cambria Math" w:cs="Cambria Math"/>
            <w:sz w:val="28"/>
            <w:szCs w:val="28"/>
          </w:rPr>
          <m:t>=</m:t>
        </m:r>
        <m:f>
          <m:fPr>
            <m:ctrlPr>
              <w:rPr>
                <w:rFonts w:ascii="Cambria Math" w:hAnsi="Cambria Math"/>
                <w:color w:val="FF0000"/>
                <w:sz w:val="28"/>
                <w:szCs w:val="28"/>
              </w:rPr>
            </m:ctrlPr>
          </m:fPr>
          <m:num>
            <m:r>
              <m:rPr>
                <m:sty m:val="p"/>
              </m:rPr>
              <w:rPr>
                <w:rFonts w:ascii="Cambria Math" w:hAnsi="Cambria Math" w:cs="Cambria Math"/>
                <w:color w:val="FF0000"/>
                <w:sz w:val="28"/>
                <w:szCs w:val="28"/>
              </w:rPr>
              <m:t xml:space="preserve">les fonds propres </m:t>
            </m:r>
          </m:num>
          <m:den>
            <m:r>
              <w:rPr>
                <w:rFonts w:ascii="Cambria Math" w:hAnsi="Cambria Math" w:cs="Cambria Math"/>
                <w:color w:val="FF0000"/>
                <w:sz w:val="28"/>
                <w:szCs w:val="28"/>
              </w:rPr>
              <m:t>exigibilités</m:t>
            </m:r>
          </m:den>
        </m:f>
      </m:oMath>
      <w:r w:rsidR="00557E2B" w:rsidRPr="00557E2B">
        <w:rPr>
          <w:rFonts w:eastAsiaTheme="minorEastAsia"/>
          <w:sz w:val="28"/>
          <w:szCs w:val="28"/>
        </w:rPr>
        <w:t xml:space="preserve"> ≥</w:t>
      </w:r>
      <w:r w:rsidR="00557E2B">
        <w:rPr>
          <w:rFonts w:eastAsiaTheme="minorEastAsia"/>
        </w:rPr>
        <w:t xml:space="preserve"> 10%</w:t>
      </w:r>
      <w:r w:rsidR="00652062">
        <w:rPr>
          <w:rFonts w:eastAsiaTheme="minorEastAsia"/>
        </w:rPr>
        <w:t xml:space="preserve"> </w:t>
      </w:r>
    </w:p>
    <w:p w:rsidR="00557E2B" w:rsidRDefault="00557E2B" w:rsidP="00EA0A89">
      <w:pPr>
        <w:jc w:val="both"/>
      </w:pPr>
    </w:p>
    <w:p w:rsidR="00211F6A" w:rsidRPr="00652062" w:rsidRDefault="00211F6A" w:rsidP="0002021D">
      <w:pPr>
        <w:pStyle w:val="Paragraphedeliste"/>
        <w:numPr>
          <w:ilvl w:val="0"/>
          <w:numId w:val="41"/>
        </w:numPr>
        <w:jc w:val="both"/>
        <w:rPr>
          <w:color w:val="984806" w:themeColor="accent6" w:themeShade="80"/>
        </w:rPr>
      </w:pPr>
      <w:r w:rsidRPr="00652062">
        <w:rPr>
          <w:color w:val="984806" w:themeColor="accent6" w:themeShade="80"/>
        </w:rPr>
        <w:t>Le ratio de liquidités</w:t>
      </w:r>
    </w:p>
    <w:p w:rsidR="00E330AD" w:rsidRDefault="00557E2B" w:rsidP="00EA0A89">
      <w:pPr>
        <w:jc w:val="both"/>
        <w:rPr>
          <w:rFonts w:eastAsiaTheme="minorEastAsia"/>
          <w:sz w:val="28"/>
          <w:szCs w:val="28"/>
        </w:rPr>
      </w:pPr>
      <m:oMath>
        <m:r>
          <m:rPr>
            <m:sty m:val="p"/>
          </m:rPr>
          <w:rPr>
            <w:rFonts w:ascii="Cambria Math" w:hAnsi="Cambria Math" w:cs="Cambria Math"/>
            <w:color w:val="FF0000"/>
            <w:sz w:val="28"/>
            <w:szCs w:val="28"/>
          </w:rPr>
          <m:t>=</m:t>
        </m:r>
        <m:f>
          <m:fPr>
            <m:ctrlPr>
              <w:rPr>
                <w:rFonts w:ascii="Cambria Math" w:hAnsi="Cambria Math"/>
                <w:color w:val="FF0000"/>
                <w:sz w:val="28"/>
                <w:szCs w:val="28"/>
              </w:rPr>
            </m:ctrlPr>
          </m:fPr>
          <m:num>
            <m:r>
              <m:rPr>
                <m:sty m:val="p"/>
              </m:rPr>
              <w:rPr>
                <w:rFonts w:ascii="Cambria Math" w:hAnsi="Cambria Math"/>
                <w:color w:val="FF0000"/>
                <w:sz w:val="28"/>
                <w:szCs w:val="28"/>
              </w:rPr>
              <m:t>liquidité+actifs à court terme</m:t>
            </m:r>
          </m:num>
          <m:den>
            <m:r>
              <m:rPr>
                <m:sty m:val="p"/>
              </m:rPr>
              <w:rPr>
                <w:rFonts w:ascii="Cambria Math" w:hAnsi="Cambria Math" w:cs="Cambria Math"/>
                <w:color w:val="FF0000"/>
                <w:sz w:val="28"/>
                <w:szCs w:val="28"/>
              </w:rPr>
              <m:t>exigibilité à vu et à court terme</m:t>
            </m:r>
          </m:den>
        </m:f>
      </m:oMath>
      <w:r>
        <w:rPr>
          <w:rFonts w:eastAsiaTheme="minorEastAsia"/>
          <w:color w:val="FF0000"/>
          <w:sz w:val="28"/>
          <w:szCs w:val="28"/>
        </w:rPr>
        <w:t xml:space="preserve"> ≥ </w:t>
      </w:r>
      <w:r w:rsidRPr="00557E2B">
        <w:rPr>
          <w:rFonts w:eastAsiaTheme="minorEastAsia"/>
          <w:sz w:val="28"/>
          <w:szCs w:val="28"/>
        </w:rPr>
        <w:t>100</w:t>
      </w:r>
      <w:r>
        <w:rPr>
          <w:rFonts w:eastAsiaTheme="minorEastAsia"/>
          <w:color w:val="FF0000"/>
          <w:sz w:val="28"/>
          <w:szCs w:val="28"/>
        </w:rPr>
        <w:t xml:space="preserve"> </w:t>
      </w:r>
      <w:r w:rsidRPr="00557E2B">
        <w:rPr>
          <w:rFonts w:eastAsiaTheme="minorEastAsia"/>
          <w:sz w:val="28"/>
          <w:szCs w:val="28"/>
        </w:rPr>
        <w:t>%</w:t>
      </w:r>
    </w:p>
    <w:p w:rsidR="00557E2B" w:rsidRPr="00EA0A89" w:rsidRDefault="00557E2B" w:rsidP="00EA0A89">
      <w:pPr>
        <w:jc w:val="both"/>
        <w:rPr>
          <w:rFonts w:eastAsiaTheme="minorEastAsia"/>
        </w:rPr>
      </w:pPr>
      <w:r w:rsidRPr="00EA0A89">
        <w:rPr>
          <w:rFonts w:eastAsiaTheme="minorEastAsia"/>
        </w:rPr>
        <w:t xml:space="preserve">Les objectifs de cette liquidité : </w:t>
      </w:r>
    </w:p>
    <w:p w:rsidR="00557E2B" w:rsidRPr="00EA0A89" w:rsidRDefault="00557E2B" w:rsidP="0002021D">
      <w:pPr>
        <w:pStyle w:val="Paragraphedeliste"/>
        <w:numPr>
          <w:ilvl w:val="0"/>
          <w:numId w:val="37"/>
        </w:numPr>
        <w:jc w:val="both"/>
        <w:rPr>
          <w:rFonts w:eastAsiaTheme="minorEastAsia"/>
        </w:rPr>
      </w:pPr>
      <w:r w:rsidRPr="00EA0A89">
        <w:rPr>
          <w:rFonts w:eastAsiaTheme="minorEastAsia"/>
        </w:rPr>
        <w:t>faire face à la demande de leur clientèle.</w:t>
      </w:r>
    </w:p>
    <w:p w:rsidR="00557E2B" w:rsidRPr="00EA0A89" w:rsidRDefault="00557E2B" w:rsidP="0002021D">
      <w:pPr>
        <w:pStyle w:val="Paragraphedeliste"/>
        <w:numPr>
          <w:ilvl w:val="0"/>
          <w:numId w:val="37"/>
        </w:numPr>
        <w:jc w:val="both"/>
        <w:rPr>
          <w:rFonts w:eastAsiaTheme="minorEastAsia"/>
        </w:rPr>
      </w:pPr>
      <w:r w:rsidRPr="00EA0A89">
        <w:rPr>
          <w:rFonts w:eastAsiaTheme="minorEastAsia"/>
        </w:rPr>
        <w:t>Faire face aux opérations interbancaire.</w:t>
      </w:r>
    </w:p>
    <w:p w:rsidR="00557E2B" w:rsidRPr="00EA0A89" w:rsidRDefault="00557E2B" w:rsidP="0002021D">
      <w:pPr>
        <w:pStyle w:val="Paragraphedeliste"/>
        <w:numPr>
          <w:ilvl w:val="0"/>
          <w:numId w:val="37"/>
        </w:numPr>
        <w:jc w:val="both"/>
        <w:rPr>
          <w:rFonts w:eastAsiaTheme="minorEastAsia"/>
        </w:rPr>
      </w:pPr>
      <w:r w:rsidRPr="00EA0A89">
        <w:rPr>
          <w:rFonts w:eastAsiaTheme="minorEastAsia"/>
        </w:rPr>
        <w:t xml:space="preserve">Respecter les réserves de la </w:t>
      </w:r>
      <w:r w:rsidR="00867F94" w:rsidRPr="00EA0A89">
        <w:rPr>
          <w:rFonts w:eastAsiaTheme="minorEastAsia"/>
        </w:rPr>
        <w:t>liquidité bancaire a</w:t>
      </w:r>
      <w:r w:rsidR="00EA0A89">
        <w:rPr>
          <w:rFonts w:eastAsiaTheme="minorEastAsia"/>
        </w:rPr>
        <w:t>u</w:t>
      </w:r>
      <w:r w:rsidR="00867F94" w:rsidRPr="00EA0A89">
        <w:rPr>
          <w:rFonts w:eastAsiaTheme="minorEastAsia"/>
        </w:rPr>
        <w:t>près de la banque centrale.</w:t>
      </w:r>
    </w:p>
    <w:p w:rsidR="00867F94" w:rsidRPr="00EA0A89" w:rsidRDefault="00867F94" w:rsidP="0002021D">
      <w:pPr>
        <w:pStyle w:val="Paragraphedeliste"/>
        <w:numPr>
          <w:ilvl w:val="0"/>
          <w:numId w:val="37"/>
        </w:numPr>
        <w:jc w:val="both"/>
        <w:rPr>
          <w:rFonts w:eastAsiaTheme="minorEastAsia"/>
        </w:rPr>
      </w:pPr>
      <w:r w:rsidRPr="00EA0A89">
        <w:rPr>
          <w:rFonts w:eastAsiaTheme="minorEastAsia"/>
        </w:rPr>
        <w:t>La liquidité est utilisée par la banque centrale pour la régulation du marché, c’est le support de la politique monétaire.</w:t>
      </w:r>
    </w:p>
    <w:p w:rsidR="00867F94" w:rsidRPr="00EA0A89" w:rsidRDefault="00537711" w:rsidP="0002021D">
      <w:pPr>
        <w:pStyle w:val="Paragraphedeliste"/>
        <w:numPr>
          <w:ilvl w:val="0"/>
          <w:numId w:val="41"/>
        </w:numPr>
        <w:jc w:val="both"/>
        <w:rPr>
          <w:color w:val="984806" w:themeColor="accent6" w:themeShade="80"/>
        </w:rPr>
      </w:pPr>
      <w:r w:rsidRPr="00EA0A89">
        <w:rPr>
          <w:color w:val="984806" w:themeColor="accent6" w:themeShade="80"/>
        </w:rPr>
        <w:t>Le ratio de division de risque</w:t>
      </w:r>
    </w:p>
    <w:p w:rsidR="00537711" w:rsidRPr="00EA0A89" w:rsidRDefault="00537711" w:rsidP="00EA0A89">
      <w:pPr>
        <w:jc w:val="both"/>
        <w:rPr>
          <w:rFonts w:eastAsiaTheme="minorEastAsia"/>
        </w:rPr>
      </w:pPr>
      <w:r w:rsidRPr="00EA0A89">
        <w:rPr>
          <w:rFonts w:eastAsiaTheme="minorEastAsia"/>
        </w:rPr>
        <w:t>Dans ce cas la banque ne doit pas avoir sur un même client des créances qui dépassent 20% de ses fonds propres (d’ailleurs une fois qu’on dépasse 5% on doit informer la banque centrale).</w:t>
      </w:r>
    </w:p>
    <w:p w:rsidR="00537711" w:rsidRPr="00EA0A89" w:rsidRDefault="00537711" w:rsidP="00EA0A89">
      <w:pPr>
        <w:jc w:val="both"/>
        <w:rPr>
          <w:rFonts w:eastAsiaTheme="minorEastAsia"/>
        </w:rPr>
      </w:pPr>
      <w:r w:rsidRPr="00EA0A89">
        <w:rPr>
          <w:rFonts w:eastAsiaTheme="minorEastAsia"/>
        </w:rPr>
        <w:t xml:space="preserve">On constate que l’activité bancaire c’est l’activité bancaire la plus réglementée au monde. Avec la réforme celle-ci </w:t>
      </w:r>
      <w:r w:rsidR="00EA0A89">
        <w:rPr>
          <w:rFonts w:eastAsiaTheme="minorEastAsia"/>
        </w:rPr>
        <w:t xml:space="preserve"> est </w:t>
      </w:r>
      <w:r w:rsidRPr="00EA0A89">
        <w:rPr>
          <w:rFonts w:eastAsiaTheme="minorEastAsia"/>
        </w:rPr>
        <w:t xml:space="preserve">devenue de plus en plus libéralisée, c'est-à-dire que les banques peuvent faire toutes les activités citées par la loi bancaire (les trois principales activités, les opérations assimilées </w:t>
      </w:r>
      <w:r w:rsidR="0044648B" w:rsidRPr="00EA0A89">
        <w:rPr>
          <w:rFonts w:eastAsiaTheme="minorEastAsia"/>
        </w:rPr>
        <w:t>au crédit</w:t>
      </w:r>
      <w:r w:rsidRPr="00EA0A89">
        <w:rPr>
          <w:rFonts w:eastAsiaTheme="minorEastAsia"/>
        </w:rPr>
        <w:t xml:space="preserve">, et les opérations connexes), mais pour </w:t>
      </w:r>
      <w:r w:rsidR="0044648B" w:rsidRPr="00EA0A89">
        <w:rPr>
          <w:rFonts w:eastAsiaTheme="minorEastAsia"/>
        </w:rPr>
        <w:t>sauvegarder</w:t>
      </w:r>
      <w:r w:rsidRPr="00EA0A89">
        <w:rPr>
          <w:rFonts w:eastAsiaTheme="minorEastAsia"/>
        </w:rPr>
        <w:t xml:space="preserve"> la stabilité du système </w:t>
      </w:r>
      <w:r w:rsidR="0044648B" w:rsidRPr="00EA0A89">
        <w:rPr>
          <w:rFonts w:eastAsiaTheme="minorEastAsia"/>
        </w:rPr>
        <w:t>et assurer la protection de la clientèle, les banques doivent respecter la réglementation en vigueur, à savoir : la loi bancaire, les règles prudentielles,</w:t>
      </w:r>
      <w:r w:rsidR="00EA0A89">
        <w:rPr>
          <w:rFonts w:eastAsiaTheme="minorEastAsia"/>
        </w:rPr>
        <w:t xml:space="preserve"> et</w:t>
      </w:r>
      <w:r w:rsidR="0044648B" w:rsidRPr="00EA0A89">
        <w:rPr>
          <w:rFonts w:eastAsiaTheme="minorEastAsia"/>
        </w:rPr>
        <w:t xml:space="preserve"> les orientations de la politique monétaire. Pour veiller au respect de cette réglementation la banque centrale doit contrôler le système</w:t>
      </w:r>
      <w:r w:rsidR="00EA0A89">
        <w:rPr>
          <w:rFonts w:eastAsiaTheme="minorEastAsia"/>
        </w:rPr>
        <w:t>,</w:t>
      </w:r>
      <w:r w:rsidR="0044648B" w:rsidRPr="00EA0A89">
        <w:rPr>
          <w:rFonts w:eastAsiaTheme="minorEastAsia"/>
        </w:rPr>
        <w:t xml:space="preserve"> soit sur place (inspecteurs)</w:t>
      </w:r>
      <w:r w:rsidR="00EA0A89">
        <w:rPr>
          <w:rFonts w:eastAsiaTheme="minorEastAsia"/>
        </w:rPr>
        <w:t>,</w:t>
      </w:r>
      <w:r w:rsidR="0044648B" w:rsidRPr="00EA0A89">
        <w:rPr>
          <w:rFonts w:eastAsiaTheme="minorEastAsia"/>
        </w:rPr>
        <w:t xml:space="preserve"> soit sur pièce (les documents comptables dont les informations sont maintenant soumises aux normes internationales </w:t>
      </w:r>
      <w:r w:rsidR="00EA0A89">
        <w:rPr>
          <w:rFonts w:eastAsiaTheme="minorEastAsia"/>
        </w:rPr>
        <w:t>(</w:t>
      </w:r>
      <w:r w:rsidR="0044648B" w:rsidRPr="00EA0A89">
        <w:rPr>
          <w:rFonts w:eastAsiaTheme="minorEastAsia"/>
        </w:rPr>
        <w:t xml:space="preserve">IAS/IFRS). </w:t>
      </w:r>
    </w:p>
    <w:p w:rsidR="0044648B" w:rsidRPr="00EA0A89" w:rsidRDefault="0044648B" w:rsidP="00EA0A89">
      <w:pPr>
        <w:jc w:val="both"/>
        <w:rPr>
          <w:rFonts w:eastAsiaTheme="minorEastAsia"/>
        </w:rPr>
      </w:pPr>
      <w:r w:rsidRPr="00EA0A89">
        <w:rPr>
          <w:rFonts w:eastAsiaTheme="minorEastAsia"/>
        </w:rPr>
        <w:t xml:space="preserve">Pour renforcer le rôle de la banque centrale dans la politique monétaire (en matière de contrôle), il a eu dernièrement la réforme </w:t>
      </w:r>
      <w:r w:rsidR="00405B01" w:rsidRPr="00EA0A89">
        <w:rPr>
          <w:rFonts w:eastAsiaTheme="minorEastAsia"/>
        </w:rPr>
        <w:t xml:space="preserve">de son </w:t>
      </w:r>
      <w:r w:rsidR="0014700A" w:rsidRPr="00EA0A89">
        <w:rPr>
          <w:rFonts w:eastAsiaTheme="minorEastAsia"/>
        </w:rPr>
        <w:t>statut,</w:t>
      </w:r>
      <w:r w:rsidR="00405B01" w:rsidRPr="00EA0A89">
        <w:rPr>
          <w:rFonts w:eastAsiaTheme="minorEastAsia"/>
        </w:rPr>
        <w:t xml:space="preserve"> qui a élargit son champs d’activité et lui a donner plus d’indépendance.</w:t>
      </w:r>
    </w:p>
    <w:p w:rsidR="00557E2B" w:rsidRPr="00652062" w:rsidRDefault="00557E2B" w:rsidP="00EA0A89">
      <w:pPr>
        <w:jc w:val="both"/>
        <w:rPr>
          <w:rFonts w:eastAsiaTheme="minorEastAsia"/>
          <w:color w:val="FF0000"/>
          <w:sz w:val="24"/>
          <w:szCs w:val="24"/>
        </w:rPr>
      </w:pPr>
    </w:p>
    <w:p w:rsidR="00F97FA0" w:rsidRDefault="00F97FA0" w:rsidP="00EA0A89">
      <w:pPr>
        <w:jc w:val="both"/>
        <w:rPr>
          <w:color w:val="FF0000"/>
          <w:sz w:val="24"/>
          <w:szCs w:val="24"/>
        </w:rPr>
      </w:pPr>
    </w:p>
    <w:p w:rsidR="00F97FA0" w:rsidRDefault="00F97FA0" w:rsidP="0002021D">
      <w:pPr>
        <w:pStyle w:val="Paragraphedeliste"/>
        <w:numPr>
          <w:ilvl w:val="0"/>
          <w:numId w:val="7"/>
        </w:numPr>
        <w:jc w:val="both"/>
        <w:rPr>
          <w:rFonts w:eastAsia="BatangChe"/>
          <w:color w:val="FFC000"/>
          <w:sz w:val="32"/>
          <w:szCs w:val="32"/>
        </w:rPr>
      </w:pPr>
      <w:r w:rsidRPr="00F97FA0">
        <w:rPr>
          <w:rFonts w:eastAsia="BatangChe"/>
          <w:color w:val="FFC000"/>
          <w:sz w:val="32"/>
          <w:szCs w:val="32"/>
        </w:rPr>
        <w:lastRenderedPageBreak/>
        <w:t>Le marché des capitaux</w:t>
      </w:r>
    </w:p>
    <w:p w:rsidR="00F97FA0" w:rsidRDefault="00F97FA0" w:rsidP="00F97FA0">
      <w:pPr>
        <w:jc w:val="both"/>
        <w:rPr>
          <w:rFonts w:eastAsia="BatangChe"/>
        </w:rPr>
      </w:pPr>
      <w:r>
        <w:rPr>
          <w:rFonts w:eastAsia="BatangChe"/>
        </w:rPr>
        <w:t>En plus du financement de l’économie par la création monétaire, l’économie peut être financée par les marchés de capitaux, et principalement le marché financier</w:t>
      </w:r>
      <w:r>
        <w:rPr>
          <w:rStyle w:val="Appelnotedebasdep"/>
          <w:rFonts w:eastAsia="BatangChe"/>
        </w:rPr>
        <w:footnoteReference w:id="12"/>
      </w:r>
      <w:r>
        <w:rPr>
          <w:rFonts w:eastAsia="BatangChe"/>
        </w:rPr>
        <w:t>.</w:t>
      </w:r>
    </w:p>
    <w:p w:rsidR="00F97FA0" w:rsidRDefault="00F97FA0" w:rsidP="00F97FA0">
      <w:pPr>
        <w:jc w:val="both"/>
        <w:rPr>
          <w:rFonts w:eastAsia="BatangChe"/>
        </w:rPr>
      </w:pPr>
      <w:r>
        <w:rPr>
          <w:rFonts w:eastAsia="BatangChe"/>
        </w:rPr>
        <w:t>Le marché financier peut être défini comme un marché de capitaux à moyen et long terme, c'est-à-dire</w:t>
      </w:r>
      <w:r w:rsidR="00B24F0F">
        <w:rPr>
          <w:rFonts w:eastAsia="BatangChe"/>
        </w:rPr>
        <w:t xml:space="preserve"> un marché de capitaux s</w:t>
      </w:r>
      <w:r>
        <w:rPr>
          <w:rFonts w:eastAsia="BatangChe"/>
        </w:rPr>
        <w:t>t</w:t>
      </w:r>
      <w:r w:rsidR="00B24F0F">
        <w:rPr>
          <w:rFonts w:eastAsia="BatangChe"/>
        </w:rPr>
        <w:t>a</w:t>
      </w:r>
      <w:r>
        <w:rPr>
          <w:rFonts w:eastAsia="BatangChe"/>
        </w:rPr>
        <w:t>ble</w:t>
      </w:r>
      <w:r w:rsidR="00B24F0F">
        <w:rPr>
          <w:rFonts w:eastAsia="BatangChe"/>
        </w:rPr>
        <w:t>. Le financement sur ce marché se fait par l’épargne déjà existante.</w:t>
      </w:r>
    </w:p>
    <w:p w:rsidR="00B24F0F" w:rsidRDefault="00B24F0F" w:rsidP="00F97FA0">
      <w:pPr>
        <w:jc w:val="both"/>
        <w:rPr>
          <w:rFonts w:eastAsia="BatangChe"/>
        </w:rPr>
      </w:pPr>
      <w:r>
        <w:rPr>
          <w:rFonts w:eastAsia="BatangChe"/>
        </w:rPr>
        <w:t>Ce marché est constitué de composante :</w:t>
      </w:r>
    </w:p>
    <w:p w:rsidR="00B24F0F" w:rsidRDefault="00B24F0F" w:rsidP="0002021D">
      <w:pPr>
        <w:pStyle w:val="Paragraphedeliste"/>
        <w:numPr>
          <w:ilvl w:val="0"/>
          <w:numId w:val="42"/>
        </w:numPr>
        <w:jc w:val="both"/>
        <w:rPr>
          <w:rFonts w:eastAsia="BatangChe"/>
        </w:rPr>
      </w:pPr>
      <w:r>
        <w:rPr>
          <w:rFonts w:eastAsia="BatangChe"/>
        </w:rPr>
        <w:t>Le marché primaire.</w:t>
      </w:r>
    </w:p>
    <w:p w:rsidR="00B24F0F" w:rsidRDefault="00B24F0F" w:rsidP="0002021D">
      <w:pPr>
        <w:pStyle w:val="Paragraphedeliste"/>
        <w:numPr>
          <w:ilvl w:val="0"/>
          <w:numId w:val="42"/>
        </w:numPr>
        <w:jc w:val="both"/>
        <w:rPr>
          <w:rFonts w:eastAsia="BatangChe"/>
        </w:rPr>
      </w:pPr>
      <w:r>
        <w:rPr>
          <w:rFonts w:eastAsia="BatangChe"/>
        </w:rPr>
        <w:t>Le marché secondaire.</w:t>
      </w:r>
    </w:p>
    <w:p w:rsidR="00B24F0F" w:rsidRDefault="00B24F0F" w:rsidP="00B24F0F">
      <w:pPr>
        <w:jc w:val="both"/>
        <w:rPr>
          <w:rFonts w:eastAsia="BatangChe"/>
        </w:rPr>
      </w:pPr>
      <w:r>
        <w:rPr>
          <w:rFonts w:eastAsia="BatangChe"/>
        </w:rPr>
        <w:t>Ces deux marchés sont interdépendants (on ne peut avoir l’un sans l’autre).</w:t>
      </w:r>
    </w:p>
    <w:p w:rsidR="00B24F0F" w:rsidRPr="00901D86" w:rsidRDefault="00B24F0F" w:rsidP="0002021D">
      <w:pPr>
        <w:pStyle w:val="Paragraphedeliste"/>
        <w:numPr>
          <w:ilvl w:val="0"/>
          <w:numId w:val="43"/>
        </w:numPr>
        <w:jc w:val="both"/>
        <w:rPr>
          <w:rFonts w:eastAsia="BatangChe"/>
          <w:color w:val="00B0F0"/>
        </w:rPr>
      </w:pPr>
      <w:r w:rsidRPr="00901D86">
        <w:rPr>
          <w:rFonts w:eastAsia="BatangChe"/>
          <w:color w:val="00B0F0"/>
        </w:rPr>
        <w:t>Le marché primaire</w:t>
      </w:r>
    </w:p>
    <w:p w:rsidR="00B24F0F" w:rsidRDefault="00B24F0F" w:rsidP="00B24F0F">
      <w:pPr>
        <w:jc w:val="both"/>
        <w:rPr>
          <w:rFonts w:eastAsia="BatangChe"/>
        </w:rPr>
      </w:pPr>
      <w:r>
        <w:rPr>
          <w:rFonts w:eastAsia="BatangChe"/>
        </w:rPr>
        <w:t>C’est le marché sur lequel se fait le financement des agents à besoin de financement (les entreprises quelque soit leur statut juridique, le trésor public, et autres organismes publics même les collectivités locales), en contre partie de l’émission  de titres financiers qui peuvent être soit des obligations soit des actions.</w:t>
      </w:r>
    </w:p>
    <w:p w:rsidR="00B24F0F" w:rsidRDefault="00097E10" w:rsidP="0002021D">
      <w:pPr>
        <w:pStyle w:val="Paragraphedeliste"/>
        <w:numPr>
          <w:ilvl w:val="0"/>
          <w:numId w:val="44"/>
        </w:numPr>
        <w:jc w:val="both"/>
        <w:rPr>
          <w:rFonts w:eastAsia="BatangChe"/>
        </w:rPr>
      </w:pPr>
      <w:r w:rsidRPr="000E17FB">
        <w:rPr>
          <w:rFonts w:eastAsia="BatangChe"/>
          <w:color w:val="92D050"/>
        </w:rPr>
        <w:t>Les obligations</w:t>
      </w:r>
      <w:r w:rsidR="000E17FB" w:rsidRPr="000E17FB">
        <w:rPr>
          <w:rFonts w:eastAsia="BatangChe"/>
          <w:color w:val="92D050"/>
        </w:rPr>
        <w:t> </w:t>
      </w:r>
      <w:r w:rsidR="000E17FB">
        <w:rPr>
          <w:rFonts w:eastAsia="BatangChe"/>
        </w:rPr>
        <w:t>:</w:t>
      </w:r>
      <w:r>
        <w:rPr>
          <w:rFonts w:eastAsia="BatangChe"/>
        </w:rPr>
        <w:t xml:space="preserve"> ce sont des titres de créances émises au moment du lancement d’emprunts par un agen</w:t>
      </w:r>
      <w:r w:rsidR="00A20E92">
        <w:rPr>
          <w:rFonts w:eastAsia="BatangChe"/>
        </w:rPr>
        <w:t>t à</w:t>
      </w:r>
      <w:r>
        <w:rPr>
          <w:rFonts w:eastAsia="BatangChe"/>
        </w:rPr>
        <w:t xml:space="preserve"> besoin de financement qui remplit les conditions</w:t>
      </w:r>
      <w:r w:rsidR="00A20E92">
        <w:rPr>
          <w:rFonts w:eastAsia="BatangChe"/>
        </w:rPr>
        <w:t>. c</w:t>
      </w:r>
      <w:r>
        <w:rPr>
          <w:rFonts w:eastAsia="BatangChe"/>
        </w:rPr>
        <w:t>es titres</w:t>
      </w:r>
      <w:r w:rsidR="00A20E92">
        <w:rPr>
          <w:rFonts w:eastAsia="BatangChe"/>
        </w:rPr>
        <w:t xml:space="preserve"> donnent</w:t>
      </w:r>
      <w:r>
        <w:rPr>
          <w:rFonts w:eastAsia="BatangChe"/>
        </w:rPr>
        <w:t xml:space="preserve"> le droit à un intérêt </w:t>
      </w:r>
      <w:r w:rsidR="00A20E92">
        <w:rPr>
          <w:rFonts w:eastAsia="BatangChe"/>
        </w:rPr>
        <w:t xml:space="preserve">généralement </w:t>
      </w:r>
      <w:r>
        <w:rPr>
          <w:rFonts w:eastAsia="BatangChe"/>
        </w:rPr>
        <w:t>fixe</w:t>
      </w:r>
      <w:r w:rsidR="000E17FB">
        <w:rPr>
          <w:rFonts w:eastAsia="BatangChe"/>
        </w:rPr>
        <w:t>,</w:t>
      </w:r>
      <w:r>
        <w:rPr>
          <w:rFonts w:eastAsia="BatangChe"/>
        </w:rPr>
        <w:t xml:space="preserve"> </w:t>
      </w:r>
      <w:r w:rsidR="000E17FB">
        <w:rPr>
          <w:rFonts w:eastAsia="BatangChe"/>
        </w:rPr>
        <w:t>et au</w:t>
      </w:r>
      <w:r>
        <w:rPr>
          <w:rFonts w:eastAsia="BatangChe"/>
        </w:rPr>
        <w:t xml:space="preserve"> remboursement à la fin de l’échéance.</w:t>
      </w:r>
    </w:p>
    <w:p w:rsidR="00097E10" w:rsidRDefault="00097E10" w:rsidP="0002021D">
      <w:pPr>
        <w:pStyle w:val="Paragraphedeliste"/>
        <w:numPr>
          <w:ilvl w:val="0"/>
          <w:numId w:val="44"/>
        </w:numPr>
        <w:jc w:val="both"/>
        <w:rPr>
          <w:rFonts w:eastAsia="BatangChe"/>
        </w:rPr>
      </w:pPr>
      <w:r w:rsidRPr="000E17FB">
        <w:rPr>
          <w:rFonts w:eastAsia="BatangChe"/>
          <w:color w:val="92D050"/>
        </w:rPr>
        <w:t>Les actions</w:t>
      </w:r>
      <w:r>
        <w:rPr>
          <w:rFonts w:eastAsia="BatangChe"/>
        </w:rPr>
        <w:t xml:space="preserve"> : ce sont des titres de participation dans le capital social de l’entreprise émettrice les droits des actionnaires sont principalement : recevoir les dividendes, assisté </w:t>
      </w:r>
      <w:r w:rsidR="000E17FB">
        <w:rPr>
          <w:rFonts w:eastAsia="BatangChe"/>
        </w:rPr>
        <w:t xml:space="preserve">directement ou indirectement </w:t>
      </w:r>
      <w:r>
        <w:rPr>
          <w:rFonts w:eastAsia="BatangChe"/>
        </w:rPr>
        <w:t>à l’assemblée générale,</w:t>
      </w:r>
      <w:r w:rsidR="000E17FB">
        <w:rPr>
          <w:rFonts w:eastAsia="BatangChe"/>
        </w:rPr>
        <w:t xml:space="preserve"> et le droit à l’in</w:t>
      </w:r>
      <w:r>
        <w:rPr>
          <w:rFonts w:eastAsia="BatangChe"/>
        </w:rPr>
        <w:t>formation</w:t>
      </w:r>
      <w:r w:rsidR="000E17FB">
        <w:rPr>
          <w:rFonts w:eastAsia="BatangChe"/>
        </w:rPr>
        <w:t xml:space="preserve"> (</w:t>
      </w:r>
      <w:r>
        <w:rPr>
          <w:rFonts w:eastAsia="BatangChe"/>
        </w:rPr>
        <w:t>Aug</w:t>
      </w:r>
      <w:r w:rsidR="00465CD1">
        <w:rPr>
          <w:rFonts w:eastAsia="BatangChe"/>
        </w:rPr>
        <w:t>mentation de</w:t>
      </w:r>
      <w:r>
        <w:rPr>
          <w:rFonts w:eastAsia="BatangChe"/>
        </w:rPr>
        <w:t xml:space="preserve"> capital</w:t>
      </w:r>
      <w:r w:rsidR="000E17FB">
        <w:rPr>
          <w:rFonts w:eastAsia="BatangChe"/>
        </w:rPr>
        <w:t xml:space="preserve"> distribution des</w:t>
      </w:r>
      <w:r>
        <w:rPr>
          <w:rFonts w:eastAsia="BatangChe"/>
        </w:rPr>
        <w:t xml:space="preserve"> dividende</w:t>
      </w:r>
      <w:r w:rsidR="000E17FB">
        <w:rPr>
          <w:rFonts w:eastAsia="BatangChe"/>
        </w:rPr>
        <w:t>s)</w:t>
      </w:r>
      <w:r>
        <w:rPr>
          <w:rFonts w:eastAsia="BatangChe"/>
        </w:rPr>
        <w:t>. Les actions peuvent être émises dans les conditions suivantes :</w:t>
      </w:r>
    </w:p>
    <w:p w:rsidR="00097E10" w:rsidRDefault="000E17FB" w:rsidP="0002021D">
      <w:pPr>
        <w:pStyle w:val="Paragraphedeliste"/>
        <w:numPr>
          <w:ilvl w:val="0"/>
          <w:numId w:val="45"/>
        </w:numPr>
        <w:jc w:val="both"/>
        <w:rPr>
          <w:rFonts w:eastAsia="BatangChe"/>
        </w:rPr>
      </w:pPr>
      <w:r>
        <w:rPr>
          <w:rFonts w:eastAsia="BatangChe"/>
        </w:rPr>
        <w:t>Par les entreprises privées</w:t>
      </w:r>
      <w:r w:rsidR="00097E10">
        <w:rPr>
          <w:rFonts w:eastAsia="BatangChe"/>
        </w:rPr>
        <w:t xml:space="preserve"> soit au moment de la création</w:t>
      </w:r>
      <w:r>
        <w:rPr>
          <w:rFonts w:eastAsia="BatangChe"/>
        </w:rPr>
        <w:t>,</w:t>
      </w:r>
      <w:r w:rsidR="00097E10">
        <w:rPr>
          <w:rFonts w:eastAsia="BatangChe"/>
        </w:rPr>
        <w:t xml:space="preserve"> ou</w:t>
      </w:r>
      <w:r>
        <w:rPr>
          <w:rFonts w:eastAsia="BatangChe"/>
        </w:rPr>
        <w:t xml:space="preserve"> lors de l’</w:t>
      </w:r>
      <w:r w:rsidR="00097E10">
        <w:rPr>
          <w:rFonts w:eastAsia="BatangChe"/>
        </w:rPr>
        <w:t>augmentati</w:t>
      </w:r>
      <w:r>
        <w:rPr>
          <w:rFonts w:eastAsia="BatangChe"/>
        </w:rPr>
        <w:t>on de</w:t>
      </w:r>
      <w:r w:rsidR="00097E10">
        <w:rPr>
          <w:rFonts w:eastAsia="BatangChe"/>
        </w:rPr>
        <w:t xml:space="preserve"> capital.</w:t>
      </w:r>
    </w:p>
    <w:p w:rsidR="00097E10" w:rsidRDefault="00465CD1" w:rsidP="0002021D">
      <w:pPr>
        <w:pStyle w:val="Paragraphedeliste"/>
        <w:numPr>
          <w:ilvl w:val="0"/>
          <w:numId w:val="45"/>
        </w:numPr>
        <w:jc w:val="both"/>
        <w:rPr>
          <w:rFonts w:eastAsia="BatangChe"/>
        </w:rPr>
      </w:pPr>
      <w:r>
        <w:rPr>
          <w:rFonts w:eastAsia="BatangChe"/>
        </w:rPr>
        <w:t>par</w:t>
      </w:r>
      <w:r w:rsidR="00097E10">
        <w:rPr>
          <w:rFonts w:eastAsia="BatangChe"/>
        </w:rPr>
        <w:t xml:space="preserve"> des entreprises </w:t>
      </w:r>
      <w:r>
        <w:rPr>
          <w:rFonts w:eastAsia="BatangChe"/>
        </w:rPr>
        <w:t>semi-publiques qui</w:t>
      </w:r>
      <w:r w:rsidR="00097E10">
        <w:rPr>
          <w:rFonts w:eastAsia="BatangChe"/>
        </w:rPr>
        <w:t xml:space="preserve"> peuvent émettre des actions dans le</w:t>
      </w:r>
      <w:r>
        <w:rPr>
          <w:rFonts w:eastAsia="BatangChe"/>
        </w:rPr>
        <w:t>s</w:t>
      </w:r>
      <w:r w:rsidR="00097E10">
        <w:rPr>
          <w:rFonts w:eastAsia="BatangChe"/>
        </w:rPr>
        <w:t xml:space="preserve"> cas suivants :</w:t>
      </w:r>
    </w:p>
    <w:p w:rsidR="00097E10" w:rsidRDefault="00097E10" w:rsidP="0002021D">
      <w:pPr>
        <w:pStyle w:val="Paragraphedeliste"/>
        <w:numPr>
          <w:ilvl w:val="0"/>
          <w:numId w:val="46"/>
        </w:numPr>
        <w:jc w:val="both"/>
        <w:rPr>
          <w:rFonts w:eastAsia="BatangChe"/>
        </w:rPr>
      </w:pPr>
      <w:r>
        <w:rPr>
          <w:rFonts w:eastAsia="BatangChe"/>
        </w:rPr>
        <w:t>Au moment de la création.</w:t>
      </w:r>
    </w:p>
    <w:p w:rsidR="00097E10" w:rsidRDefault="00097E10" w:rsidP="0002021D">
      <w:pPr>
        <w:pStyle w:val="Paragraphedeliste"/>
        <w:numPr>
          <w:ilvl w:val="0"/>
          <w:numId w:val="46"/>
        </w:numPr>
        <w:jc w:val="both"/>
        <w:rPr>
          <w:rFonts w:eastAsia="BatangChe"/>
        </w:rPr>
      </w:pPr>
      <w:r>
        <w:rPr>
          <w:rFonts w:eastAsia="BatangChe"/>
        </w:rPr>
        <w:t xml:space="preserve"> </w:t>
      </w:r>
      <w:r w:rsidR="000E17FB">
        <w:rPr>
          <w:rFonts w:eastAsia="BatangChe"/>
        </w:rPr>
        <w:t>L’augmentation de</w:t>
      </w:r>
      <w:r>
        <w:rPr>
          <w:rFonts w:eastAsia="BatangChe"/>
        </w:rPr>
        <w:t xml:space="preserve"> capital (croissance).</w:t>
      </w:r>
    </w:p>
    <w:p w:rsidR="00097E10" w:rsidRDefault="00097E10" w:rsidP="0002021D">
      <w:pPr>
        <w:pStyle w:val="Paragraphedeliste"/>
        <w:numPr>
          <w:ilvl w:val="0"/>
          <w:numId w:val="46"/>
        </w:numPr>
        <w:jc w:val="both"/>
        <w:rPr>
          <w:rFonts w:eastAsia="BatangChe"/>
        </w:rPr>
      </w:pPr>
      <w:r>
        <w:rPr>
          <w:rFonts w:eastAsia="BatangChe"/>
        </w:rPr>
        <w:t>Privatisation de la partie publique.</w:t>
      </w:r>
    </w:p>
    <w:p w:rsidR="00465CD1" w:rsidRDefault="00465CD1" w:rsidP="0002021D">
      <w:pPr>
        <w:pStyle w:val="Paragraphedeliste"/>
        <w:numPr>
          <w:ilvl w:val="0"/>
          <w:numId w:val="47"/>
        </w:numPr>
        <w:jc w:val="both"/>
        <w:rPr>
          <w:rFonts w:eastAsia="BatangChe"/>
        </w:rPr>
      </w:pPr>
      <w:r w:rsidRPr="00465CD1">
        <w:rPr>
          <w:rFonts w:eastAsia="BatangChe"/>
        </w:rPr>
        <w:t>Les entreprises publiques</w:t>
      </w:r>
      <w:r>
        <w:rPr>
          <w:rFonts w:eastAsia="BatangChe"/>
        </w:rPr>
        <w:t xml:space="preserve"> peuvent aussi émettre des actions dans les cas suivant</w:t>
      </w:r>
    </w:p>
    <w:p w:rsidR="00465CD1" w:rsidRDefault="00465CD1" w:rsidP="0002021D">
      <w:pPr>
        <w:pStyle w:val="Paragraphedeliste"/>
        <w:numPr>
          <w:ilvl w:val="0"/>
          <w:numId w:val="48"/>
        </w:numPr>
        <w:jc w:val="both"/>
        <w:rPr>
          <w:rFonts w:eastAsia="BatangChe"/>
        </w:rPr>
      </w:pPr>
      <w:r>
        <w:rPr>
          <w:rFonts w:eastAsia="BatangChe"/>
        </w:rPr>
        <w:t>Au moment de la privatisation totale ou partielle.</w:t>
      </w:r>
    </w:p>
    <w:p w:rsidR="00465CD1" w:rsidRDefault="00465CD1" w:rsidP="00465CD1">
      <w:pPr>
        <w:jc w:val="both"/>
        <w:rPr>
          <w:rFonts w:eastAsia="BatangChe"/>
        </w:rPr>
      </w:pPr>
      <w:r>
        <w:rPr>
          <w:rFonts w:eastAsia="BatangChe"/>
        </w:rPr>
        <w:t>NB1 : en exclu le trésor public qui ne peut émettre d’actions</w:t>
      </w:r>
      <w:r w:rsidR="000E17FB">
        <w:rPr>
          <w:rFonts w:eastAsia="BatangChe"/>
        </w:rPr>
        <w:t>, car</w:t>
      </w:r>
      <w:r>
        <w:rPr>
          <w:rFonts w:eastAsia="BatangChe"/>
        </w:rPr>
        <w:t xml:space="preserve"> il n’a pas la forme d’entreprise, et pour la même raison en exclut les collectivités locales.</w:t>
      </w:r>
    </w:p>
    <w:p w:rsidR="00465CD1" w:rsidRDefault="00465CD1" w:rsidP="000E17FB">
      <w:pPr>
        <w:jc w:val="both"/>
        <w:rPr>
          <w:rFonts w:eastAsia="BatangChe"/>
        </w:rPr>
      </w:pPr>
      <w:r>
        <w:rPr>
          <w:rFonts w:eastAsia="BatangChe"/>
        </w:rPr>
        <w:t>NB2 : seules les sociétés de capitaux</w:t>
      </w:r>
      <w:r w:rsidR="000E17FB">
        <w:rPr>
          <w:rFonts w:eastAsia="BatangChe"/>
        </w:rPr>
        <w:t xml:space="preserve"> et</w:t>
      </w:r>
      <w:r>
        <w:rPr>
          <w:rFonts w:eastAsia="BatangChe"/>
        </w:rPr>
        <w:t xml:space="preserve"> </w:t>
      </w:r>
      <w:r w:rsidR="000E17FB">
        <w:rPr>
          <w:rFonts w:eastAsia="BatangChe"/>
        </w:rPr>
        <w:t xml:space="preserve">la société à responsabilité limitée </w:t>
      </w:r>
      <w:r>
        <w:rPr>
          <w:rFonts w:eastAsia="BatangChe"/>
        </w:rPr>
        <w:t>peuvent émettre des actions</w:t>
      </w:r>
      <w:r w:rsidR="000E17FB">
        <w:rPr>
          <w:rFonts w:eastAsia="BatangChe"/>
        </w:rPr>
        <w:t>.</w:t>
      </w:r>
    </w:p>
    <w:p w:rsidR="00465CD1" w:rsidRDefault="00DC6DC3" w:rsidP="00474FD8">
      <w:pPr>
        <w:rPr>
          <w:rFonts w:eastAsia="BatangChe"/>
        </w:rPr>
      </w:pPr>
      <w:r>
        <w:rPr>
          <w:rFonts w:eastAsia="BatangChe"/>
        </w:rPr>
        <w:lastRenderedPageBreak/>
        <w:t>C’est  ti</w:t>
      </w:r>
      <w:r w:rsidR="00465CD1">
        <w:rPr>
          <w:rFonts w:eastAsia="BatangChe"/>
        </w:rPr>
        <w:t xml:space="preserve">tres sont acquis </w:t>
      </w:r>
      <w:r>
        <w:rPr>
          <w:rFonts w:eastAsia="BatangChe"/>
        </w:rPr>
        <w:t>(</w:t>
      </w:r>
      <w:r w:rsidR="00465CD1">
        <w:rPr>
          <w:rFonts w:eastAsia="BatangChe"/>
        </w:rPr>
        <w:t>souscrit</w:t>
      </w:r>
      <w:r>
        <w:rPr>
          <w:rFonts w:eastAsia="BatangChe"/>
        </w:rPr>
        <w:t>)</w:t>
      </w:r>
      <w:r w:rsidR="00465CD1">
        <w:rPr>
          <w:rFonts w:eastAsia="BatangChe"/>
        </w:rPr>
        <w:t xml:space="preserve"> par les agents à capacité de financement c’est-à-dire les épargnants qui son principalement</w:t>
      </w:r>
      <w:r>
        <w:rPr>
          <w:rFonts w:eastAsia="BatangChe"/>
        </w:rPr>
        <w:t> :</w:t>
      </w:r>
      <w:r w:rsidR="00465CD1">
        <w:rPr>
          <w:rFonts w:eastAsia="BatangChe"/>
        </w:rPr>
        <w:t xml:space="preserve"> les ménages,</w:t>
      </w:r>
      <w:r>
        <w:rPr>
          <w:rFonts w:eastAsia="BatangChe"/>
        </w:rPr>
        <w:t xml:space="preserve"> l</w:t>
      </w:r>
      <w:r w:rsidR="00465CD1">
        <w:rPr>
          <w:rFonts w:eastAsia="BatangChe"/>
        </w:rPr>
        <w:t>es organismes institutionnels,</w:t>
      </w:r>
      <w:r>
        <w:rPr>
          <w:rFonts w:eastAsia="BatangChe"/>
        </w:rPr>
        <w:t xml:space="preserve"> les OPCVM</w:t>
      </w:r>
      <w:r w:rsidR="00465CD1">
        <w:rPr>
          <w:rFonts w:eastAsia="BatangChe"/>
        </w:rPr>
        <w:t>,</w:t>
      </w:r>
      <w:r>
        <w:rPr>
          <w:rFonts w:eastAsia="BatangChe"/>
        </w:rPr>
        <w:t xml:space="preserve"> et l</w:t>
      </w:r>
      <w:r w:rsidR="00465CD1">
        <w:rPr>
          <w:rFonts w:eastAsia="BatangChe"/>
        </w:rPr>
        <w:t>es entreprises.</w:t>
      </w:r>
    </w:p>
    <w:p w:rsidR="00465CD1" w:rsidRDefault="00DC6DC3" w:rsidP="00474FD8">
      <w:pPr>
        <w:rPr>
          <w:rFonts w:eastAsia="BatangChe"/>
        </w:rPr>
      </w:pPr>
      <w:r>
        <w:rPr>
          <w:rFonts w:eastAsia="BatangChe"/>
        </w:rPr>
        <w:t>Ces</w:t>
      </w:r>
      <w:r w:rsidR="00465CD1">
        <w:rPr>
          <w:rFonts w:eastAsia="BatangChe"/>
        </w:rPr>
        <w:t xml:space="preserve"> agents</w:t>
      </w:r>
      <w:r>
        <w:rPr>
          <w:rFonts w:eastAsia="BatangChe"/>
        </w:rPr>
        <w:t xml:space="preserve"> peuvent être réside</w:t>
      </w:r>
      <w:r w:rsidR="00465CD1">
        <w:rPr>
          <w:rFonts w:eastAsia="BatangChe"/>
        </w:rPr>
        <w:t>nt</w:t>
      </w:r>
      <w:r>
        <w:rPr>
          <w:rFonts w:eastAsia="BatangChe"/>
        </w:rPr>
        <w:t>s</w:t>
      </w:r>
      <w:r w:rsidR="00465CD1">
        <w:rPr>
          <w:rFonts w:eastAsia="BatangChe"/>
        </w:rPr>
        <w:t xml:space="preserve"> aux non-résidents</w:t>
      </w:r>
      <w:r>
        <w:rPr>
          <w:rFonts w:eastAsia="BatangChe"/>
        </w:rPr>
        <w:t>, par contre les agents à</w:t>
      </w:r>
      <w:r w:rsidR="00465CD1">
        <w:rPr>
          <w:rFonts w:eastAsia="BatangChe"/>
        </w:rPr>
        <w:t xml:space="preserve"> besoin de financement</w:t>
      </w:r>
      <w:r>
        <w:rPr>
          <w:rFonts w:eastAsia="BatangChe"/>
        </w:rPr>
        <w:t xml:space="preserve"> doivent être réside</w:t>
      </w:r>
      <w:r w:rsidR="00465CD1">
        <w:rPr>
          <w:rFonts w:eastAsia="BatangChe"/>
        </w:rPr>
        <w:t>nt</w:t>
      </w:r>
      <w:r>
        <w:rPr>
          <w:rFonts w:eastAsia="BatangChe"/>
        </w:rPr>
        <w:t>s</w:t>
      </w:r>
      <w:r w:rsidR="00465CD1">
        <w:rPr>
          <w:rFonts w:eastAsia="BatangChe"/>
        </w:rPr>
        <w:t>.</w:t>
      </w:r>
    </w:p>
    <w:p w:rsidR="00465CD1" w:rsidRDefault="00465CD1" w:rsidP="00474FD8">
      <w:pPr>
        <w:rPr>
          <w:rFonts w:eastAsia="BatangChe"/>
        </w:rPr>
      </w:pPr>
      <w:r>
        <w:rPr>
          <w:rFonts w:eastAsia="BatangChe"/>
        </w:rPr>
        <w:t>Les intervenants sur ce marché sont :</w:t>
      </w:r>
    </w:p>
    <w:p w:rsidR="00465CD1" w:rsidRDefault="00465CD1" w:rsidP="0002021D">
      <w:pPr>
        <w:pStyle w:val="Paragraphedeliste"/>
        <w:numPr>
          <w:ilvl w:val="0"/>
          <w:numId w:val="23"/>
        </w:numPr>
        <w:rPr>
          <w:rFonts w:eastAsia="BatangChe"/>
        </w:rPr>
      </w:pPr>
      <w:r>
        <w:rPr>
          <w:rFonts w:eastAsia="BatangChe"/>
        </w:rPr>
        <w:t xml:space="preserve">Les agents </w:t>
      </w:r>
      <w:r w:rsidR="00DC6DC3">
        <w:rPr>
          <w:rFonts w:eastAsia="BatangChe"/>
        </w:rPr>
        <w:t>à</w:t>
      </w:r>
      <w:r>
        <w:rPr>
          <w:rFonts w:eastAsia="BatangChe"/>
        </w:rPr>
        <w:t xml:space="preserve"> besoin de financement émetteur de titres</w:t>
      </w:r>
      <w:r w:rsidR="00DC6DC3">
        <w:rPr>
          <w:rFonts w:eastAsia="BatangChe"/>
        </w:rPr>
        <w:t xml:space="preserve"> e</w:t>
      </w:r>
      <w:r>
        <w:rPr>
          <w:rFonts w:eastAsia="BatangChe"/>
        </w:rPr>
        <w:t>t</w:t>
      </w:r>
      <w:r w:rsidR="00DC6DC3">
        <w:rPr>
          <w:rFonts w:eastAsia="BatangChe"/>
        </w:rPr>
        <w:t xml:space="preserve"> col</w:t>
      </w:r>
      <w:r>
        <w:rPr>
          <w:rFonts w:eastAsia="BatangChe"/>
        </w:rPr>
        <w:t>lecteur</w:t>
      </w:r>
      <w:r w:rsidR="00DC6DC3">
        <w:rPr>
          <w:rFonts w:eastAsia="BatangChe"/>
        </w:rPr>
        <w:t>s</w:t>
      </w:r>
      <w:r>
        <w:rPr>
          <w:rFonts w:eastAsia="BatangChe"/>
        </w:rPr>
        <w:t xml:space="preserve"> de l’épargne</w:t>
      </w:r>
      <w:r w:rsidR="00DC6DC3">
        <w:rPr>
          <w:rFonts w:eastAsia="BatangChe"/>
        </w:rPr>
        <w:t>.</w:t>
      </w:r>
      <w:r>
        <w:rPr>
          <w:rFonts w:eastAsia="BatangChe"/>
        </w:rPr>
        <w:t xml:space="preserve"> </w:t>
      </w:r>
    </w:p>
    <w:p w:rsidR="00465CD1" w:rsidRDefault="00465CD1" w:rsidP="0002021D">
      <w:pPr>
        <w:pStyle w:val="Paragraphedeliste"/>
        <w:numPr>
          <w:ilvl w:val="0"/>
          <w:numId w:val="23"/>
        </w:numPr>
        <w:rPr>
          <w:rFonts w:eastAsia="BatangChe"/>
        </w:rPr>
      </w:pPr>
      <w:r>
        <w:rPr>
          <w:rFonts w:eastAsia="BatangChe"/>
        </w:rPr>
        <w:t xml:space="preserve">Les agents à capacité de financement ce sont les </w:t>
      </w:r>
      <w:r w:rsidR="00901D86">
        <w:rPr>
          <w:rFonts w:eastAsia="BatangChe"/>
        </w:rPr>
        <w:t>les acquéreurs ou les souscripteurs de titres</w:t>
      </w:r>
    </w:p>
    <w:p w:rsidR="00901D86" w:rsidRDefault="00901D86" w:rsidP="0002021D">
      <w:pPr>
        <w:pStyle w:val="Paragraphedeliste"/>
        <w:numPr>
          <w:ilvl w:val="0"/>
          <w:numId w:val="23"/>
        </w:numPr>
        <w:rPr>
          <w:rFonts w:eastAsia="BatangChe"/>
        </w:rPr>
      </w:pPr>
      <w:r>
        <w:rPr>
          <w:rFonts w:eastAsia="BatangChe"/>
        </w:rPr>
        <w:t xml:space="preserve">Les intermédiaires entre les </w:t>
      </w:r>
      <w:r w:rsidR="00F6291B">
        <w:rPr>
          <w:rFonts w:eastAsia="BatangChe"/>
        </w:rPr>
        <w:t>ABF et les ACF sont</w:t>
      </w:r>
      <w:r>
        <w:rPr>
          <w:rFonts w:eastAsia="BatangChe"/>
        </w:rPr>
        <w:t xml:space="preserve"> généralement les banques</w:t>
      </w:r>
      <w:r w:rsidR="00F6291B">
        <w:rPr>
          <w:rFonts w:eastAsia="BatangChe"/>
        </w:rPr>
        <w:t xml:space="preserve">, les </w:t>
      </w:r>
      <w:r>
        <w:rPr>
          <w:rFonts w:eastAsia="BatangChe"/>
        </w:rPr>
        <w:t>sociétés boursières</w:t>
      </w:r>
      <w:r w:rsidR="00F6291B">
        <w:rPr>
          <w:rFonts w:eastAsia="BatangChe"/>
        </w:rPr>
        <w:t>, et les OPCVM.</w:t>
      </w:r>
      <w:r>
        <w:rPr>
          <w:rFonts w:eastAsia="BatangChe"/>
        </w:rPr>
        <w:t xml:space="preserve"> </w:t>
      </w:r>
      <w:r w:rsidR="00F6291B">
        <w:rPr>
          <w:rFonts w:eastAsia="BatangChe"/>
        </w:rPr>
        <w:t xml:space="preserve">A ce niveau </w:t>
      </w:r>
      <w:r>
        <w:rPr>
          <w:rFonts w:eastAsia="BatangChe"/>
        </w:rPr>
        <w:t xml:space="preserve">ces </w:t>
      </w:r>
      <w:r w:rsidR="00F6291B">
        <w:rPr>
          <w:rFonts w:eastAsia="BatangChe"/>
        </w:rPr>
        <w:t>organismes</w:t>
      </w:r>
      <w:r>
        <w:rPr>
          <w:rFonts w:eastAsia="BatangChe"/>
        </w:rPr>
        <w:t xml:space="preserve"> sont considérés comme des collecteurs d’ordre</w:t>
      </w:r>
      <w:r w:rsidR="00F6291B">
        <w:rPr>
          <w:rFonts w:eastAsia="BatangChe"/>
        </w:rPr>
        <w:t>s</w:t>
      </w:r>
      <w:r>
        <w:rPr>
          <w:rFonts w:eastAsia="BatangChe"/>
        </w:rPr>
        <w:t>.</w:t>
      </w:r>
    </w:p>
    <w:p w:rsidR="00901D86" w:rsidRDefault="00901D86" w:rsidP="00474FD8">
      <w:pPr>
        <w:rPr>
          <w:rFonts w:eastAsia="BatangChe"/>
        </w:rPr>
      </w:pPr>
      <w:r>
        <w:rPr>
          <w:rFonts w:eastAsia="BatangChe"/>
        </w:rPr>
        <w:t>Le marché primaire n’a pas de lieu précis</w:t>
      </w:r>
      <w:r w:rsidR="00F6291B">
        <w:rPr>
          <w:rFonts w:eastAsia="BatangChe"/>
        </w:rPr>
        <w:t xml:space="preserve"> mais il’ est</w:t>
      </w:r>
      <w:r>
        <w:rPr>
          <w:rFonts w:eastAsia="BatangChe"/>
        </w:rPr>
        <w:t xml:space="preserve"> établi sur la totalité du territoire national et même à l’extérieur</w:t>
      </w:r>
      <w:r w:rsidR="00F6291B">
        <w:rPr>
          <w:rFonts w:eastAsia="BatangChe"/>
        </w:rPr>
        <w:t>.</w:t>
      </w:r>
    </w:p>
    <w:p w:rsidR="00901D86" w:rsidRDefault="00901D86" w:rsidP="00474FD8">
      <w:pPr>
        <w:rPr>
          <w:rFonts w:eastAsia="BatangChe"/>
        </w:rPr>
      </w:pPr>
      <w:r>
        <w:rPr>
          <w:rFonts w:eastAsia="BatangChe"/>
        </w:rPr>
        <w:t>Les titres achetés sont gérés actuellement par des comptes titre</w:t>
      </w:r>
      <w:r w:rsidR="00F6291B">
        <w:rPr>
          <w:rFonts w:eastAsia="BatangChe"/>
        </w:rPr>
        <w:t>,</w:t>
      </w:r>
      <w:r>
        <w:rPr>
          <w:rFonts w:eastAsia="BatangChe"/>
        </w:rPr>
        <w:t xml:space="preserve"> </w:t>
      </w:r>
      <w:r w:rsidR="00F6291B">
        <w:rPr>
          <w:rFonts w:eastAsia="BatangChe"/>
        </w:rPr>
        <w:t>puis</w:t>
      </w:r>
      <w:r>
        <w:rPr>
          <w:rFonts w:eastAsia="BatangChe"/>
        </w:rPr>
        <w:t>que ce</w:t>
      </w:r>
      <w:r w:rsidR="00F6291B">
        <w:rPr>
          <w:rFonts w:eastAsia="BatangChe"/>
        </w:rPr>
        <w:t>ux-ci sont totalement</w:t>
      </w:r>
      <w:r>
        <w:rPr>
          <w:rFonts w:eastAsia="BatangChe"/>
        </w:rPr>
        <w:t xml:space="preserve"> dématérialisée</w:t>
      </w:r>
      <w:r w:rsidR="00F6291B">
        <w:rPr>
          <w:rFonts w:eastAsia="BatangChe"/>
        </w:rPr>
        <w:t>, c</w:t>
      </w:r>
      <w:r>
        <w:rPr>
          <w:rFonts w:eastAsia="BatangChe"/>
        </w:rPr>
        <w:t xml:space="preserve">es comptes titres sont centralisées auprès de </w:t>
      </w:r>
      <w:r w:rsidR="00F6291B">
        <w:rPr>
          <w:rFonts w:eastAsia="BatangChe"/>
        </w:rPr>
        <w:t>MAROCLEAR</w:t>
      </w:r>
      <w:r>
        <w:rPr>
          <w:rFonts w:eastAsia="BatangChe"/>
        </w:rPr>
        <w:t xml:space="preserve"> le dépositaire central.</w:t>
      </w:r>
    </w:p>
    <w:p w:rsidR="00901D86" w:rsidRDefault="00F6291B" w:rsidP="00474FD8">
      <w:pPr>
        <w:rPr>
          <w:rFonts w:eastAsia="BatangChe"/>
        </w:rPr>
      </w:pPr>
      <w:r>
        <w:rPr>
          <w:rFonts w:eastAsia="BatangChe"/>
        </w:rPr>
        <w:t>Le rôle de MAROCLEAR</w:t>
      </w:r>
      <w:r w:rsidR="00901D86">
        <w:rPr>
          <w:rFonts w:eastAsia="BatangChe"/>
        </w:rPr>
        <w:t xml:space="preserve"> e</w:t>
      </w:r>
      <w:r>
        <w:rPr>
          <w:rFonts w:eastAsia="BatangChe"/>
        </w:rPr>
        <w:t>s</w:t>
      </w:r>
      <w:r w:rsidR="00901D86">
        <w:rPr>
          <w:rFonts w:eastAsia="BatangChe"/>
        </w:rPr>
        <w:t>t la sécurité et la compensation des opérations</w:t>
      </w:r>
      <w:r>
        <w:rPr>
          <w:rFonts w:eastAsia="BatangChe"/>
        </w:rPr>
        <w:t>,</w:t>
      </w:r>
      <w:r w:rsidR="00901D86">
        <w:rPr>
          <w:rFonts w:eastAsia="BatangChe"/>
        </w:rPr>
        <w:t xml:space="preserve"> comme la banque ce</w:t>
      </w:r>
      <w:r>
        <w:rPr>
          <w:rFonts w:eastAsia="BatangChe"/>
        </w:rPr>
        <w:t>ntrale pour les comptes de monnaie.</w:t>
      </w:r>
    </w:p>
    <w:p w:rsidR="00901D86" w:rsidRDefault="00901D86" w:rsidP="00474FD8">
      <w:pPr>
        <w:rPr>
          <w:rFonts w:eastAsia="BatangChe"/>
        </w:rPr>
      </w:pPr>
      <w:r>
        <w:rPr>
          <w:rFonts w:eastAsia="BatangChe"/>
        </w:rPr>
        <w:t xml:space="preserve">Ce marché primaire est </w:t>
      </w:r>
      <w:r w:rsidR="00F6291B">
        <w:rPr>
          <w:rFonts w:eastAsia="BatangChe"/>
        </w:rPr>
        <w:t>organisé</w:t>
      </w:r>
      <w:r>
        <w:rPr>
          <w:rFonts w:eastAsia="BatangChe"/>
        </w:rPr>
        <w:t xml:space="preserve"> par les autorités suivantes : la banque centrale et le </w:t>
      </w:r>
      <w:r w:rsidR="00F6291B">
        <w:rPr>
          <w:rFonts w:eastAsia="BatangChe"/>
        </w:rPr>
        <w:t>CDVM.</w:t>
      </w:r>
    </w:p>
    <w:p w:rsidR="00901D86" w:rsidRDefault="00901D86" w:rsidP="00474FD8">
      <w:pPr>
        <w:rPr>
          <w:rFonts w:eastAsia="BatangChe"/>
        </w:rPr>
      </w:pPr>
      <w:r>
        <w:rPr>
          <w:rFonts w:eastAsia="BatangChe"/>
        </w:rPr>
        <w:t>NB :</w:t>
      </w:r>
      <w:r w:rsidR="00F6291B">
        <w:rPr>
          <w:rFonts w:eastAsia="BatangChe"/>
        </w:rPr>
        <w:t xml:space="preserve"> </w:t>
      </w:r>
      <w:r w:rsidR="00ED3719">
        <w:rPr>
          <w:rFonts w:eastAsia="BatangChe"/>
        </w:rPr>
        <w:t>le financement</w:t>
      </w:r>
      <w:r>
        <w:rPr>
          <w:rFonts w:eastAsia="BatangChe"/>
        </w:rPr>
        <w:t xml:space="preserve"> sur ce marché se fait toujours par </w:t>
      </w:r>
      <w:r w:rsidR="00F6291B">
        <w:rPr>
          <w:rFonts w:eastAsia="BatangChe"/>
        </w:rPr>
        <w:t>l’</w:t>
      </w:r>
      <w:r>
        <w:rPr>
          <w:rFonts w:eastAsia="BatangChe"/>
        </w:rPr>
        <w:t>émission de nouveaux titres</w:t>
      </w:r>
      <w:r w:rsidR="00F6291B">
        <w:rPr>
          <w:rFonts w:eastAsia="BatangChe"/>
        </w:rPr>
        <w:t xml:space="preserve">, donc </w:t>
      </w:r>
      <w:r>
        <w:rPr>
          <w:rFonts w:eastAsia="BatangChe"/>
        </w:rPr>
        <w:t xml:space="preserve"> c’</w:t>
      </w:r>
      <w:r w:rsidR="00F6291B">
        <w:rPr>
          <w:rFonts w:eastAsia="BatangChe"/>
        </w:rPr>
        <w:t>est sur ce marché que</w:t>
      </w:r>
      <w:r>
        <w:rPr>
          <w:rFonts w:eastAsia="BatangChe"/>
        </w:rPr>
        <w:t xml:space="preserve"> se </w:t>
      </w:r>
      <w:r w:rsidR="00F6291B">
        <w:rPr>
          <w:rFonts w:eastAsia="BatangChe"/>
        </w:rPr>
        <w:t>fait le financement des agents à</w:t>
      </w:r>
      <w:r>
        <w:rPr>
          <w:rFonts w:eastAsia="BatangChe"/>
        </w:rPr>
        <w:t xml:space="preserve"> besoin de financement.</w:t>
      </w:r>
    </w:p>
    <w:p w:rsidR="00901D86" w:rsidRDefault="00901D86" w:rsidP="0002021D">
      <w:pPr>
        <w:pStyle w:val="Paragraphedeliste"/>
        <w:numPr>
          <w:ilvl w:val="0"/>
          <w:numId w:val="43"/>
        </w:numPr>
        <w:rPr>
          <w:rFonts w:eastAsia="BatangChe"/>
          <w:color w:val="00B0F0"/>
        </w:rPr>
      </w:pPr>
      <w:r w:rsidRPr="00901D86">
        <w:rPr>
          <w:rFonts w:eastAsia="BatangChe"/>
          <w:color w:val="00B0F0"/>
        </w:rPr>
        <w:t>Le marché secondaire</w:t>
      </w:r>
      <w:r>
        <w:rPr>
          <w:rFonts w:eastAsia="BatangChe"/>
          <w:color w:val="00B0F0"/>
        </w:rPr>
        <w:t xml:space="preserve"> (</w:t>
      </w:r>
      <w:r w:rsidRPr="00901D86">
        <w:rPr>
          <w:rFonts w:eastAsia="BatangChe"/>
          <w:color w:val="00B0F0"/>
        </w:rPr>
        <w:t>la bourse</w:t>
      </w:r>
      <w:r>
        <w:rPr>
          <w:rFonts w:eastAsia="BatangChe"/>
          <w:color w:val="00B0F0"/>
        </w:rPr>
        <w:t>,</w:t>
      </w:r>
      <w:r w:rsidRPr="00901D86">
        <w:rPr>
          <w:rFonts w:eastAsia="BatangChe"/>
          <w:color w:val="00B0F0"/>
        </w:rPr>
        <w:t xml:space="preserve"> marché de l’occasion</w:t>
      </w:r>
      <w:r>
        <w:rPr>
          <w:rFonts w:eastAsia="BatangChe"/>
          <w:color w:val="00B0F0"/>
        </w:rPr>
        <w:t>) :</w:t>
      </w:r>
    </w:p>
    <w:p w:rsidR="00901D86" w:rsidRDefault="00901D86" w:rsidP="00474FD8">
      <w:pPr>
        <w:rPr>
          <w:rFonts w:eastAsia="BatangChe"/>
        </w:rPr>
      </w:pPr>
      <w:r>
        <w:rPr>
          <w:rFonts w:eastAsia="BatangChe"/>
        </w:rPr>
        <w:t xml:space="preserve">C’est le marché sur lequel se fait la négociation des titres </w:t>
      </w:r>
      <w:r w:rsidR="00ED3719">
        <w:rPr>
          <w:rFonts w:eastAsia="BatangChe"/>
        </w:rPr>
        <w:t>(vente et achat)</w:t>
      </w:r>
      <w:r>
        <w:rPr>
          <w:rFonts w:eastAsia="BatangChe"/>
        </w:rPr>
        <w:t xml:space="preserve"> déjà émis sur le primaire</w:t>
      </w:r>
      <w:r w:rsidR="00ED3719">
        <w:rPr>
          <w:rFonts w:eastAsia="BatangChe"/>
        </w:rPr>
        <w:t>.</w:t>
      </w:r>
      <w:r>
        <w:rPr>
          <w:rFonts w:eastAsia="BatangChe"/>
        </w:rPr>
        <w:t xml:space="preserve"> </w:t>
      </w:r>
      <w:r w:rsidR="00ED3719">
        <w:rPr>
          <w:rFonts w:eastAsia="BatangChe"/>
        </w:rPr>
        <w:t>Le</w:t>
      </w:r>
      <w:r>
        <w:rPr>
          <w:rFonts w:eastAsia="BatangChe"/>
        </w:rPr>
        <w:t xml:space="preserve"> principal rôle de la bourse</w:t>
      </w:r>
      <w:r w:rsidR="00ED3719">
        <w:rPr>
          <w:rFonts w:eastAsia="BatangChe"/>
        </w:rPr>
        <w:t xml:space="preserve"> c</w:t>
      </w:r>
      <w:r>
        <w:rPr>
          <w:rFonts w:eastAsia="BatangChe"/>
        </w:rPr>
        <w:t>’est d’</w:t>
      </w:r>
      <w:r w:rsidR="00ED3719">
        <w:rPr>
          <w:rFonts w:eastAsia="BatangChe"/>
        </w:rPr>
        <w:t>assurer la liquidité des</w:t>
      </w:r>
      <w:r>
        <w:rPr>
          <w:rFonts w:eastAsia="BatangChe"/>
        </w:rPr>
        <w:t xml:space="preserve"> titres. Les intervenants sur le marché boursier sont essentiellement :</w:t>
      </w:r>
    </w:p>
    <w:p w:rsidR="00901D86" w:rsidRDefault="00901D86" w:rsidP="0002021D">
      <w:pPr>
        <w:pStyle w:val="Paragraphedeliste"/>
        <w:numPr>
          <w:ilvl w:val="0"/>
          <w:numId w:val="49"/>
        </w:numPr>
        <w:rPr>
          <w:rFonts w:eastAsia="BatangChe"/>
        </w:rPr>
      </w:pPr>
      <w:r>
        <w:rPr>
          <w:rFonts w:eastAsia="BatangChe"/>
        </w:rPr>
        <w:t>La société boursière appelé</w:t>
      </w:r>
      <w:r w:rsidR="00ED3719">
        <w:rPr>
          <w:rFonts w:eastAsia="BatangChe"/>
        </w:rPr>
        <w:t>e</w:t>
      </w:r>
      <w:r>
        <w:rPr>
          <w:rFonts w:eastAsia="BatangChe"/>
        </w:rPr>
        <w:t xml:space="preserve"> aussi la société gestionnaire :</w:t>
      </w:r>
    </w:p>
    <w:p w:rsidR="00901D86" w:rsidRDefault="00901D86" w:rsidP="00474FD8">
      <w:pPr>
        <w:rPr>
          <w:rFonts w:eastAsia="BatangChe"/>
        </w:rPr>
      </w:pPr>
      <w:r>
        <w:rPr>
          <w:rFonts w:eastAsia="BatangChe"/>
        </w:rPr>
        <w:t>C’est une société anonyme privée</w:t>
      </w:r>
      <w:r w:rsidR="00ED3719">
        <w:rPr>
          <w:rFonts w:eastAsia="BatangChe"/>
        </w:rPr>
        <w:t xml:space="preserve"> dont</w:t>
      </w:r>
      <w:r>
        <w:rPr>
          <w:rFonts w:eastAsia="BatangChe"/>
        </w:rPr>
        <w:t xml:space="preserve"> le capital social</w:t>
      </w:r>
      <w:r w:rsidR="00ED3719">
        <w:rPr>
          <w:rFonts w:eastAsia="BatangChe"/>
        </w:rPr>
        <w:t xml:space="preserve"> doit être en permanence détenu</w:t>
      </w:r>
      <w:r>
        <w:rPr>
          <w:rFonts w:eastAsia="BatangChe"/>
        </w:rPr>
        <w:t xml:space="preserve"> à parts égales</w:t>
      </w:r>
      <w:r>
        <w:rPr>
          <w:rStyle w:val="Appelnotedebasdep"/>
          <w:rFonts w:eastAsia="BatangChe"/>
        </w:rPr>
        <w:footnoteReference w:id="13"/>
      </w:r>
      <w:r>
        <w:rPr>
          <w:rFonts w:eastAsia="BatangChe"/>
        </w:rPr>
        <w:t xml:space="preserve"> par les sociétés boursières</w:t>
      </w:r>
      <w:r w:rsidR="00A20E92">
        <w:rPr>
          <w:rFonts w:eastAsia="BatangChe"/>
        </w:rPr>
        <w:t>.</w:t>
      </w:r>
      <w:r w:rsidR="00ED3719">
        <w:rPr>
          <w:rFonts w:eastAsia="BatangChe"/>
        </w:rPr>
        <w:t xml:space="preserve"> Le rôle</w:t>
      </w:r>
      <w:r w:rsidR="00A20E92">
        <w:rPr>
          <w:rFonts w:eastAsia="BatangChe"/>
        </w:rPr>
        <w:t xml:space="preserve"> de la société boursière c’est d’abord d’assurer la gestion quotidienne du marché</w:t>
      </w:r>
      <w:r w:rsidR="00ED3719">
        <w:rPr>
          <w:rFonts w:eastAsia="BatangChe"/>
        </w:rPr>
        <w:t> :</w:t>
      </w:r>
      <w:r w:rsidR="00A20E92">
        <w:rPr>
          <w:rFonts w:eastAsia="BatangChe"/>
        </w:rPr>
        <w:t xml:space="preserve"> l’administration</w:t>
      </w:r>
      <w:r w:rsidR="00ED3719">
        <w:rPr>
          <w:rFonts w:eastAsia="BatangChe"/>
        </w:rPr>
        <w:t>,</w:t>
      </w:r>
      <w:r w:rsidR="00A20E92">
        <w:rPr>
          <w:rFonts w:eastAsia="BatangChe"/>
        </w:rPr>
        <w:t xml:space="preserve"> la cotation</w:t>
      </w:r>
      <w:r w:rsidR="00ED3719">
        <w:rPr>
          <w:rFonts w:eastAsia="BatangChe"/>
        </w:rPr>
        <w:t>,</w:t>
      </w:r>
      <w:r w:rsidR="00A20E92">
        <w:rPr>
          <w:rFonts w:eastAsia="BatangChe"/>
        </w:rPr>
        <w:t xml:space="preserve"> ouverture de séance</w:t>
      </w:r>
      <w:r w:rsidR="00ED3719">
        <w:rPr>
          <w:rFonts w:eastAsia="BatangChe"/>
        </w:rPr>
        <w:t>s</w:t>
      </w:r>
      <w:r w:rsidR="00A20E92">
        <w:rPr>
          <w:rFonts w:eastAsia="BatangChe"/>
        </w:rPr>
        <w:t>. En plus de la gestion quotidienne</w:t>
      </w:r>
      <w:r w:rsidR="00ED3719">
        <w:rPr>
          <w:rFonts w:eastAsia="BatangChe"/>
        </w:rPr>
        <w:t>,</w:t>
      </w:r>
      <w:r w:rsidR="00A20E92">
        <w:rPr>
          <w:rFonts w:eastAsia="BatangChe"/>
        </w:rPr>
        <w:t xml:space="preserve"> elle prépare les introduction</w:t>
      </w:r>
      <w:r w:rsidR="00ED3719">
        <w:rPr>
          <w:rFonts w:eastAsia="BatangChe"/>
        </w:rPr>
        <w:t>s</w:t>
      </w:r>
      <w:r w:rsidR="00A20E92">
        <w:rPr>
          <w:rFonts w:eastAsia="BatangChe"/>
        </w:rPr>
        <w:t xml:space="preserve"> au marché</w:t>
      </w:r>
      <w:r w:rsidR="00ED3719">
        <w:rPr>
          <w:rFonts w:eastAsia="BatangChe"/>
        </w:rPr>
        <w:t>,</w:t>
      </w:r>
      <w:r w:rsidR="00A20E92">
        <w:rPr>
          <w:rFonts w:eastAsia="BatangChe"/>
        </w:rPr>
        <w:t xml:space="preserve"> et annonce aussi la radiation.</w:t>
      </w:r>
    </w:p>
    <w:p w:rsidR="00A20E92" w:rsidRDefault="00ED3719" w:rsidP="00474FD8">
      <w:pPr>
        <w:rPr>
          <w:rFonts w:eastAsia="BatangChe"/>
        </w:rPr>
      </w:pPr>
      <w:r>
        <w:rPr>
          <w:rFonts w:eastAsia="BatangChe"/>
        </w:rPr>
        <w:t>El</w:t>
      </w:r>
      <w:r w:rsidR="00A20E92">
        <w:rPr>
          <w:rFonts w:eastAsia="BatangChe"/>
        </w:rPr>
        <w:t>le</w:t>
      </w:r>
      <w:r>
        <w:rPr>
          <w:rFonts w:eastAsia="BatangChe"/>
        </w:rPr>
        <w:t xml:space="preserve"> veille</w:t>
      </w:r>
      <w:r w:rsidR="00A20E92">
        <w:rPr>
          <w:rFonts w:eastAsia="BatangChe"/>
        </w:rPr>
        <w:t xml:space="preserve"> au respect de la réglementation par les différents intervenants</w:t>
      </w:r>
      <w:r>
        <w:rPr>
          <w:rFonts w:eastAsia="BatangChe"/>
        </w:rPr>
        <w:t>,</w:t>
      </w:r>
      <w:r w:rsidR="00A20E92">
        <w:rPr>
          <w:rFonts w:eastAsia="BatangChe"/>
        </w:rPr>
        <w:t xml:space="preserve"> et surtout</w:t>
      </w:r>
      <w:r>
        <w:rPr>
          <w:rFonts w:eastAsia="BatangChe"/>
        </w:rPr>
        <w:t xml:space="preserve"> à</w:t>
      </w:r>
      <w:r w:rsidR="00A20E92">
        <w:rPr>
          <w:rFonts w:eastAsia="BatangChe"/>
        </w:rPr>
        <w:t xml:space="preserve"> la tran</w:t>
      </w:r>
      <w:r>
        <w:rPr>
          <w:rFonts w:eastAsia="BatangChe"/>
        </w:rPr>
        <w:t>sparence</w:t>
      </w:r>
      <w:r w:rsidR="00A20E92">
        <w:rPr>
          <w:rFonts w:eastAsia="BatangChe"/>
        </w:rPr>
        <w:t xml:space="preserve"> </w:t>
      </w:r>
      <w:r>
        <w:rPr>
          <w:rFonts w:eastAsia="BatangChe"/>
        </w:rPr>
        <w:t>en veillant sur la</w:t>
      </w:r>
      <w:r w:rsidR="00A20E92">
        <w:rPr>
          <w:rFonts w:eastAsia="BatangChe"/>
        </w:rPr>
        <w:t xml:space="preserve"> publication de toutes les informations concernant les sociétés cotées en bourse.</w:t>
      </w:r>
    </w:p>
    <w:p w:rsidR="00A20E92" w:rsidRDefault="00A20E92" w:rsidP="00474FD8">
      <w:pPr>
        <w:rPr>
          <w:rFonts w:eastAsia="BatangChe"/>
        </w:rPr>
      </w:pPr>
    </w:p>
    <w:p w:rsidR="00C079BE" w:rsidRDefault="00C079BE" w:rsidP="00474FD8">
      <w:pPr>
        <w:rPr>
          <w:rFonts w:eastAsia="BatangChe"/>
        </w:rPr>
      </w:pPr>
    </w:p>
    <w:p w:rsidR="00C079BE" w:rsidRDefault="00C079BE" w:rsidP="00474FD8">
      <w:pPr>
        <w:rPr>
          <w:rFonts w:eastAsia="BatangChe"/>
        </w:rPr>
      </w:pPr>
    </w:p>
    <w:p w:rsidR="00C079BE" w:rsidRDefault="00A20E92" w:rsidP="0002021D">
      <w:pPr>
        <w:pStyle w:val="Paragraphedeliste"/>
        <w:numPr>
          <w:ilvl w:val="0"/>
          <w:numId w:val="49"/>
        </w:numPr>
        <w:rPr>
          <w:rFonts w:eastAsia="BatangChe"/>
        </w:rPr>
      </w:pPr>
      <w:r>
        <w:rPr>
          <w:rFonts w:eastAsia="BatangChe"/>
        </w:rPr>
        <w:lastRenderedPageBreak/>
        <w:t>Les sociétés b</w:t>
      </w:r>
      <w:r w:rsidR="00324412">
        <w:rPr>
          <w:rFonts w:eastAsia="BatangChe"/>
        </w:rPr>
        <w:t>oursières :</w:t>
      </w:r>
      <w:r>
        <w:rPr>
          <w:rFonts w:eastAsia="BatangChe"/>
        </w:rPr>
        <w:t xml:space="preserve"> </w:t>
      </w:r>
    </w:p>
    <w:p w:rsidR="00A20E92" w:rsidRDefault="00C079BE" w:rsidP="00474FD8">
      <w:pPr>
        <w:rPr>
          <w:rFonts w:eastAsia="BatangChe"/>
        </w:rPr>
      </w:pPr>
      <w:r w:rsidRPr="00C079BE">
        <w:rPr>
          <w:rFonts w:eastAsia="BatangChe"/>
        </w:rPr>
        <w:t>Ce</w:t>
      </w:r>
      <w:r w:rsidR="00A20E92" w:rsidRPr="00C079BE">
        <w:rPr>
          <w:rFonts w:eastAsia="BatangChe"/>
        </w:rPr>
        <w:t xml:space="preserve"> sont des sociétés anonymes privé</w:t>
      </w:r>
      <w:r w:rsidR="00324412" w:rsidRPr="00C079BE">
        <w:rPr>
          <w:rFonts w:eastAsia="BatangChe"/>
        </w:rPr>
        <w:t>e</w:t>
      </w:r>
      <w:r w:rsidR="00A20E92" w:rsidRPr="00C079BE">
        <w:rPr>
          <w:rFonts w:eastAsia="BatangChe"/>
        </w:rPr>
        <w:t>s qui ont pour principale fonction l’intermédiation boursière</w:t>
      </w:r>
      <w:r w:rsidR="00324412" w:rsidRPr="00C079BE">
        <w:rPr>
          <w:rFonts w:eastAsia="BatangChe"/>
        </w:rPr>
        <w:t>,</w:t>
      </w:r>
      <w:r w:rsidR="00A20E92" w:rsidRPr="00C079BE">
        <w:rPr>
          <w:rFonts w:eastAsia="BatangChe"/>
        </w:rPr>
        <w:t xml:space="preserve"> c’est-à-dire l’exécution des ordres boursiers</w:t>
      </w:r>
      <w:r w:rsidR="00A20E92">
        <w:rPr>
          <w:rStyle w:val="Appelnotedebasdep"/>
          <w:rFonts w:eastAsia="BatangChe"/>
        </w:rPr>
        <w:footnoteReference w:id="14"/>
      </w:r>
      <w:r w:rsidR="00A20E92" w:rsidRPr="00C079BE">
        <w:rPr>
          <w:rFonts w:eastAsia="BatangChe"/>
        </w:rPr>
        <w:t xml:space="preserve"> soit pour l’achat soit pour l</w:t>
      </w:r>
      <w:r w:rsidR="00324412" w:rsidRPr="00C079BE">
        <w:rPr>
          <w:rFonts w:eastAsia="BatangChe"/>
        </w:rPr>
        <w:t>a ve</w:t>
      </w:r>
      <w:r w:rsidR="00A20E92" w:rsidRPr="00C079BE">
        <w:rPr>
          <w:rFonts w:eastAsia="BatangChe"/>
        </w:rPr>
        <w:t>nt</w:t>
      </w:r>
      <w:r w:rsidR="00324412" w:rsidRPr="00C079BE">
        <w:rPr>
          <w:rFonts w:eastAsia="BatangChe"/>
        </w:rPr>
        <w:t>e.</w:t>
      </w:r>
    </w:p>
    <w:p w:rsidR="00C079BE" w:rsidRDefault="00C079BE" w:rsidP="00474FD8">
      <w:pPr>
        <w:rPr>
          <w:rFonts w:eastAsia="BatangChe"/>
        </w:rPr>
      </w:pPr>
      <w:r>
        <w:rPr>
          <w:rFonts w:eastAsia="BatangChe"/>
        </w:rPr>
        <w:t>Ces sociétés  ont le monopole de la négociation sur le marché boursier.</w:t>
      </w:r>
    </w:p>
    <w:p w:rsidR="00C079BE" w:rsidRPr="00C079BE" w:rsidRDefault="00C079BE" w:rsidP="0002021D">
      <w:pPr>
        <w:pStyle w:val="Paragraphedeliste"/>
        <w:numPr>
          <w:ilvl w:val="0"/>
          <w:numId w:val="51"/>
        </w:numPr>
        <w:rPr>
          <w:rFonts w:eastAsia="BatangChe"/>
        </w:rPr>
      </w:pPr>
      <w:r>
        <w:rPr>
          <w:rFonts w:eastAsia="BatangChe"/>
        </w:rPr>
        <w:t xml:space="preserve">MAROCLEAR </w:t>
      </w:r>
      <w:r w:rsidRPr="00C079BE">
        <w:rPr>
          <w:rFonts w:eastAsia="BatangChe"/>
        </w:rPr>
        <w:t xml:space="preserve"> le dépositaire central</w:t>
      </w:r>
      <w:r w:rsidR="00474FD8">
        <w:rPr>
          <w:rFonts w:eastAsia="BatangChe"/>
        </w:rPr>
        <w:t> :</w:t>
      </w:r>
    </w:p>
    <w:p w:rsidR="00C079BE" w:rsidRDefault="00C079BE" w:rsidP="00474FD8">
      <w:pPr>
        <w:rPr>
          <w:rFonts w:eastAsia="BatangChe"/>
        </w:rPr>
      </w:pPr>
      <w:r>
        <w:rPr>
          <w:rFonts w:eastAsia="BatangChe"/>
        </w:rPr>
        <w:t>Il est l'organisme qui centralise la gestion des comptes titres</w:t>
      </w:r>
      <w:r w:rsidR="00474FD8">
        <w:rPr>
          <w:rFonts w:eastAsia="BatangChe"/>
        </w:rPr>
        <w:t>,</w:t>
      </w:r>
      <w:r>
        <w:rPr>
          <w:rFonts w:eastAsia="BatangChe"/>
        </w:rPr>
        <w:t xml:space="preserve"> c'est la banque centrale des comptes titres</w:t>
      </w:r>
      <w:r w:rsidR="00474FD8">
        <w:rPr>
          <w:rFonts w:eastAsia="BatangChe"/>
        </w:rPr>
        <w:t>,</w:t>
      </w:r>
      <w:r>
        <w:rPr>
          <w:rFonts w:eastAsia="BatangChe"/>
        </w:rPr>
        <w:t xml:space="preserve"> il assure aussi le règlement</w:t>
      </w:r>
      <w:r w:rsidR="00474FD8">
        <w:rPr>
          <w:rFonts w:eastAsia="BatangChe"/>
        </w:rPr>
        <w:t>-</w:t>
      </w:r>
      <w:r>
        <w:rPr>
          <w:rFonts w:eastAsia="BatangChe"/>
        </w:rPr>
        <w:t>livraison des titres.</w:t>
      </w:r>
    </w:p>
    <w:p w:rsidR="00C079BE" w:rsidRPr="00474FD8" w:rsidRDefault="00C079BE" w:rsidP="0002021D">
      <w:pPr>
        <w:pStyle w:val="Paragraphedeliste"/>
        <w:numPr>
          <w:ilvl w:val="0"/>
          <w:numId w:val="51"/>
        </w:numPr>
        <w:rPr>
          <w:rFonts w:eastAsia="BatangChe"/>
        </w:rPr>
      </w:pPr>
      <w:r w:rsidRPr="00474FD8">
        <w:rPr>
          <w:rFonts w:eastAsia="BatangChe"/>
        </w:rPr>
        <w:t xml:space="preserve">Le </w:t>
      </w:r>
      <w:r w:rsidR="00474FD8">
        <w:rPr>
          <w:rFonts w:eastAsia="BatangChe"/>
        </w:rPr>
        <w:t>CDVM</w:t>
      </w:r>
    </w:p>
    <w:p w:rsidR="00C079BE" w:rsidRDefault="00C079BE" w:rsidP="00474FD8">
      <w:pPr>
        <w:rPr>
          <w:rFonts w:eastAsia="BatangChe"/>
        </w:rPr>
      </w:pPr>
      <w:r>
        <w:rPr>
          <w:rFonts w:eastAsia="BatangChe"/>
        </w:rPr>
        <w:t>C</w:t>
      </w:r>
      <w:r w:rsidR="00474FD8">
        <w:rPr>
          <w:rFonts w:eastAsia="BatangChe"/>
        </w:rPr>
        <w:t>’</w:t>
      </w:r>
      <w:r>
        <w:rPr>
          <w:rFonts w:eastAsia="BatangChe"/>
        </w:rPr>
        <w:t>es</w:t>
      </w:r>
      <w:r w:rsidR="00474FD8">
        <w:rPr>
          <w:rFonts w:eastAsia="BatangChe"/>
        </w:rPr>
        <w:t>t</w:t>
      </w:r>
      <w:r>
        <w:rPr>
          <w:rFonts w:eastAsia="BatangChe"/>
        </w:rPr>
        <w:t xml:space="preserve"> l'autorité du marché</w:t>
      </w:r>
      <w:r w:rsidR="00474FD8">
        <w:rPr>
          <w:rFonts w:eastAsia="BatangChe"/>
        </w:rPr>
        <w:t xml:space="preserve"> </w:t>
      </w:r>
      <w:r>
        <w:rPr>
          <w:rFonts w:eastAsia="BatangChe"/>
        </w:rPr>
        <w:t>i</w:t>
      </w:r>
      <w:r w:rsidR="00474FD8">
        <w:rPr>
          <w:rFonts w:eastAsia="BatangChe"/>
        </w:rPr>
        <w:t>l</w:t>
      </w:r>
      <w:r>
        <w:rPr>
          <w:rFonts w:eastAsia="BatangChe"/>
        </w:rPr>
        <w:t xml:space="preserve"> </w:t>
      </w:r>
      <w:r w:rsidR="00474FD8">
        <w:rPr>
          <w:rFonts w:eastAsia="BatangChe"/>
        </w:rPr>
        <w:t>v</w:t>
      </w:r>
      <w:r>
        <w:rPr>
          <w:rFonts w:eastAsia="BatangChe"/>
        </w:rPr>
        <w:t>e</w:t>
      </w:r>
      <w:r w:rsidR="00474FD8">
        <w:rPr>
          <w:rFonts w:eastAsia="BatangChe"/>
        </w:rPr>
        <w:t>i</w:t>
      </w:r>
      <w:r>
        <w:rPr>
          <w:rFonts w:eastAsia="BatangChe"/>
        </w:rPr>
        <w:t>lle</w:t>
      </w:r>
      <w:r w:rsidR="00474FD8">
        <w:rPr>
          <w:rFonts w:eastAsia="BatangChe"/>
        </w:rPr>
        <w:t xml:space="preserve"> au respect de la réglementation du marché</w:t>
      </w:r>
      <w:r>
        <w:rPr>
          <w:rFonts w:eastAsia="BatangChe"/>
        </w:rPr>
        <w:t>.</w:t>
      </w:r>
    </w:p>
    <w:p w:rsidR="00C079BE" w:rsidRDefault="00B10A41" w:rsidP="00474FD8">
      <w:pPr>
        <w:rPr>
          <w:rFonts w:eastAsia="BatangChe"/>
        </w:rPr>
      </w:pPr>
      <w:r>
        <w:rPr>
          <w:rFonts w:eastAsia="BatangChe"/>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2" type="#_x0000_t13" style="position:absolute;margin-left:-1.85pt;margin-top:6.65pt;width:38.25pt;height:7.15pt;z-index:251691008"/>
        </w:pict>
      </w:r>
      <w:r w:rsidR="00474FD8">
        <w:rPr>
          <w:rFonts w:eastAsia="BatangChe"/>
        </w:rPr>
        <w:t xml:space="preserve">                Le marché secondaire est facturé</w:t>
      </w:r>
      <w:r w:rsidR="00C079BE">
        <w:rPr>
          <w:rFonts w:eastAsia="BatangChe"/>
        </w:rPr>
        <w:t xml:space="preserve"> comme suite :</w:t>
      </w:r>
    </w:p>
    <w:p w:rsidR="00474FD8" w:rsidRDefault="00B10A41" w:rsidP="00474FD8">
      <w:pPr>
        <w:jc w:val="center"/>
        <w:rPr>
          <w:rFonts w:eastAsia="BatangChe"/>
          <w:u w:val="single"/>
        </w:rPr>
      </w:pPr>
      <w:r w:rsidRPr="00B10A41">
        <w:rPr>
          <w:rFonts w:eastAsia="BatangChe"/>
          <w:noProof/>
          <w:lang w:eastAsia="fr-FR"/>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74" type="#_x0000_t86" style="position:absolute;left:0;text-align:left;margin-left:227.65pt;margin-top:-125.25pt;width:17.25pt;height:293.25pt;rotation:90;flip:y;z-index:251692032">
            <v:shadow offset="3pt" offset2="2pt"/>
            <o:extrusion v:ext="view" rotationangle="5,10"/>
          </v:shape>
        </w:pict>
      </w:r>
      <w:r w:rsidR="00474FD8" w:rsidRPr="00474FD8">
        <w:rPr>
          <w:rFonts w:eastAsia="BatangChe"/>
        </w:rPr>
        <w:t xml:space="preserve">     </w:t>
      </w:r>
      <w:r w:rsidR="00474FD8" w:rsidRPr="00474FD8">
        <w:rPr>
          <w:rFonts w:eastAsia="BatangChe"/>
          <w:u w:val="single"/>
        </w:rPr>
        <w:t>Le marché secondaire</w:t>
      </w:r>
    </w:p>
    <w:p w:rsidR="00474FD8" w:rsidRPr="00474FD8" w:rsidRDefault="00B10A41" w:rsidP="00474FD8">
      <w:pPr>
        <w:rPr>
          <w:rFonts w:eastAsia="BatangChe"/>
          <w:u w:val="single"/>
        </w:rPr>
      </w:pPr>
      <w:r w:rsidRPr="00B10A41">
        <w:rPr>
          <w:rFonts w:eastAsia="BatangChe"/>
          <w:noProof/>
          <w:lang w:eastAsia="fr-FR"/>
        </w:rPr>
        <w:pict>
          <v:shape id="_x0000_s1075" type="#_x0000_t32" style="position:absolute;margin-left:145.9pt;margin-top:12.05pt;width:74.25pt;height:62.25pt;z-index:251693056" o:connectortype="straight">
            <v:stroke endarrow="block"/>
          </v:shape>
        </w:pict>
      </w:r>
      <w:r w:rsidRPr="00B10A41">
        <w:rPr>
          <w:rFonts w:eastAsia="BatangChe"/>
          <w:noProof/>
          <w:lang w:eastAsia="fr-FR"/>
        </w:rPr>
        <w:pict>
          <v:shape id="_x0000_s1076" type="#_x0000_t32" style="position:absolute;margin-left:111.4pt;margin-top:12.05pt;width:.75pt;height:62.25pt;z-index:251694080" o:connectortype="straight">
            <v:stroke endarrow="block"/>
          </v:shape>
        </w:pict>
      </w:r>
      <w:r w:rsidRPr="00B10A41">
        <w:rPr>
          <w:rFonts w:eastAsia="BatangChe"/>
          <w:noProof/>
          <w:lang w:eastAsia="fr-FR"/>
        </w:rPr>
        <w:pict>
          <v:shape id="_x0000_s1077" type="#_x0000_t32" style="position:absolute;margin-left:36.4pt;margin-top:12.05pt;width:41.25pt;height:62.25pt;flip:x;z-index:251695104" o:connectortype="straight">
            <v:stroke endarrow="block"/>
          </v:shape>
        </w:pict>
      </w:r>
      <w:r w:rsidR="00474FD8" w:rsidRPr="00474FD8">
        <w:rPr>
          <w:rFonts w:eastAsia="BatangChe"/>
        </w:rPr>
        <w:t xml:space="preserve">               </w:t>
      </w:r>
      <w:r w:rsidR="00474FD8">
        <w:rPr>
          <w:rFonts w:eastAsia="BatangChe"/>
        </w:rPr>
        <w:t xml:space="preserve">          </w:t>
      </w:r>
      <w:r w:rsidR="00474FD8" w:rsidRPr="00474FD8">
        <w:rPr>
          <w:rFonts w:eastAsia="BatangChe"/>
        </w:rPr>
        <w:t xml:space="preserve">  </w:t>
      </w:r>
      <w:r w:rsidR="00474FD8">
        <w:rPr>
          <w:rFonts w:eastAsia="BatangChe"/>
          <w:u w:val="single"/>
        </w:rPr>
        <w:t>Le marché centrale</w:t>
      </w:r>
      <w:r w:rsidR="00474FD8" w:rsidRPr="00474FD8">
        <w:rPr>
          <w:rFonts w:eastAsia="BatangChe"/>
        </w:rPr>
        <w:t xml:space="preserve">                                                                              </w:t>
      </w:r>
      <w:r w:rsidR="00474FD8">
        <w:rPr>
          <w:rFonts w:eastAsia="BatangChe"/>
        </w:rPr>
        <w:t xml:space="preserve">      </w:t>
      </w:r>
      <w:r w:rsidR="00474FD8" w:rsidRPr="00474FD8">
        <w:rPr>
          <w:rFonts w:eastAsia="BatangChe"/>
        </w:rPr>
        <w:t xml:space="preserve"> </w:t>
      </w:r>
      <w:r w:rsidR="00474FD8">
        <w:rPr>
          <w:rFonts w:eastAsia="BatangChe"/>
          <w:u w:val="single"/>
        </w:rPr>
        <w:t>le marché de blocs</w:t>
      </w:r>
    </w:p>
    <w:p w:rsidR="00474FD8" w:rsidRDefault="00474FD8" w:rsidP="00474FD8">
      <w:pPr>
        <w:jc w:val="center"/>
        <w:rPr>
          <w:rFonts w:eastAsia="BatangChe"/>
        </w:rPr>
      </w:pPr>
    </w:p>
    <w:p w:rsidR="00474FD8" w:rsidRDefault="00474FD8" w:rsidP="00474FD8">
      <w:pPr>
        <w:rPr>
          <w:rFonts w:eastAsia="BatangChe"/>
        </w:rPr>
      </w:pPr>
    </w:p>
    <w:p w:rsidR="00474FD8" w:rsidRPr="009040A2" w:rsidRDefault="00211548" w:rsidP="009040A2">
      <w:pPr>
        <w:rPr>
          <w:rFonts w:eastAsia="BatangChe"/>
        </w:rPr>
      </w:pPr>
      <w:r w:rsidRPr="00211548">
        <w:rPr>
          <w:rFonts w:eastAsia="BatangChe"/>
          <w:u w:val="single"/>
        </w:rPr>
        <w:t>M premier</w:t>
      </w:r>
      <w:r>
        <w:rPr>
          <w:rFonts w:eastAsia="BatangChe"/>
        </w:rPr>
        <w:t xml:space="preserve">                         </w:t>
      </w:r>
      <w:r w:rsidRPr="00211548">
        <w:rPr>
          <w:rFonts w:eastAsia="BatangChe"/>
          <w:u w:val="single"/>
        </w:rPr>
        <w:t>M second</w:t>
      </w:r>
      <w:r>
        <w:rPr>
          <w:rFonts w:eastAsia="BatangChe"/>
        </w:rPr>
        <w:t xml:space="preserve">                         </w:t>
      </w:r>
      <w:r w:rsidRPr="00211548">
        <w:rPr>
          <w:rFonts w:eastAsia="BatangChe"/>
          <w:u w:val="single"/>
        </w:rPr>
        <w:t>M troisième</w:t>
      </w:r>
    </w:p>
    <w:p w:rsidR="00C079BE" w:rsidRPr="00621428" w:rsidRDefault="005F5735" w:rsidP="0002021D">
      <w:pPr>
        <w:pStyle w:val="Paragraphedeliste"/>
        <w:numPr>
          <w:ilvl w:val="0"/>
          <w:numId w:val="54"/>
        </w:numPr>
        <w:rPr>
          <w:rFonts w:eastAsia="BatangChe"/>
          <w:color w:val="FF0000"/>
        </w:rPr>
      </w:pPr>
      <w:r w:rsidRPr="00621428">
        <w:rPr>
          <w:rFonts w:eastAsia="BatangChe"/>
          <w:color w:val="FF0000"/>
        </w:rPr>
        <w:lastRenderedPageBreak/>
        <w:t>Le ma</w:t>
      </w:r>
      <w:r w:rsidR="00C079BE" w:rsidRPr="00621428">
        <w:rPr>
          <w:rFonts w:eastAsia="BatangChe"/>
          <w:color w:val="FF0000"/>
        </w:rPr>
        <w:t>r</w:t>
      </w:r>
      <w:r w:rsidRPr="00621428">
        <w:rPr>
          <w:rFonts w:eastAsia="BatangChe"/>
          <w:color w:val="FF0000"/>
        </w:rPr>
        <w:t>ché</w:t>
      </w:r>
      <w:r w:rsidR="00C079BE" w:rsidRPr="00621428">
        <w:rPr>
          <w:rFonts w:eastAsia="BatangChe"/>
          <w:color w:val="FF0000"/>
        </w:rPr>
        <w:t xml:space="preserve"> </w:t>
      </w:r>
      <w:r w:rsidRPr="00621428">
        <w:rPr>
          <w:rFonts w:eastAsia="BatangChe"/>
          <w:color w:val="FF0000"/>
        </w:rPr>
        <w:t>central :</w:t>
      </w:r>
    </w:p>
    <w:p w:rsidR="00C079BE" w:rsidRDefault="005F5735" w:rsidP="00474FD8">
      <w:pPr>
        <w:rPr>
          <w:rFonts w:eastAsia="BatangChe"/>
        </w:rPr>
      </w:pPr>
      <w:r>
        <w:rPr>
          <w:rFonts w:eastAsia="BatangChe"/>
        </w:rPr>
        <w:t xml:space="preserve"> C’est le marché sur lequel </w:t>
      </w:r>
      <w:r w:rsidR="00C079BE">
        <w:rPr>
          <w:rFonts w:eastAsia="BatangChe"/>
        </w:rPr>
        <w:t>se</w:t>
      </w:r>
      <w:r>
        <w:rPr>
          <w:rFonts w:eastAsia="BatangChe"/>
        </w:rPr>
        <w:t xml:space="preserve"> fait la négociation </w:t>
      </w:r>
      <w:r w:rsidR="00C079BE">
        <w:rPr>
          <w:rFonts w:eastAsia="BatangChe"/>
        </w:rPr>
        <w:t xml:space="preserve"> publiquement sur l'un des marchés suivants</w:t>
      </w:r>
    </w:p>
    <w:p w:rsidR="00C079BE" w:rsidRDefault="00C079BE" w:rsidP="0002021D">
      <w:pPr>
        <w:pStyle w:val="Paragraphedeliste"/>
        <w:numPr>
          <w:ilvl w:val="0"/>
          <w:numId w:val="47"/>
        </w:numPr>
        <w:rPr>
          <w:rFonts w:eastAsia="BatangChe"/>
        </w:rPr>
      </w:pPr>
      <w:r w:rsidRPr="005F5735">
        <w:rPr>
          <w:rFonts w:eastAsia="BatangChe"/>
        </w:rPr>
        <w:t>Sur le marché premier</w:t>
      </w:r>
      <w:r w:rsidR="00621428">
        <w:rPr>
          <w:rFonts w:eastAsia="BatangChe"/>
        </w:rPr>
        <w:t xml:space="preserve"> qui est </w:t>
      </w:r>
      <w:r w:rsidRPr="005F5735">
        <w:rPr>
          <w:rFonts w:eastAsia="BatangChe"/>
        </w:rPr>
        <w:t xml:space="preserve"> réservé aux</w:t>
      </w:r>
      <w:r w:rsidR="00621428">
        <w:rPr>
          <w:rFonts w:eastAsia="BatangChe"/>
        </w:rPr>
        <w:t xml:space="preserve"> grandes </w:t>
      </w:r>
      <w:r w:rsidRPr="005F5735">
        <w:rPr>
          <w:rFonts w:eastAsia="BatangChe"/>
        </w:rPr>
        <w:t xml:space="preserve"> entreprises</w:t>
      </w:r>
      <w:r w:rsidR="00621428">
        <w:rPr>
          <w:rFonts w:eastAsia="BatangChe"/>
        </w:rPr>
        <w:t>.</w:t>
      </w:r>
    </w:p>
    <w:p w:rsidR="00621428" w:rsidRPr="00621428" w:rsidRDefault="00621428" w:rsidP="0002021D">
      <w:pPr>
        <w:pStyle w:val="Paragraphedeliste"/>
        <w:numPr>
          <w:ilvl w:val="0"/>
          <w:numId w:val="47"/>
        </w:numPr>
        <w:rPr>
          <w:rFonts w:eastAsia="BatangChe"/>
        </w:rPr>
      </w:pPr>
      <w:r>
        <w:rPr>
          <w:rFonts w:eastAsia="BatangChe"/>
        </w:rPr>
        <w:t>Sur le deuxième, réservé aux entreprises moyennes.</w:t>
      </w:r>
    </w:p>
    <w:p w:rsidR="00621428" w:rsidRDefault="00621428" w:rsidP="0002021D">
      <w:pPr>
        <w:pStyle w:val="Paragraphedeliste"/>
        <w:numPr>
          <w:ilvl w:val="0"/>
          <w:numId w:val="47"/>
        </w:numPr>
        <w:rPr>
          <w:rFonts w:eastAsia="BatangChe"/>
        </w:rPr>
      </w:pPr>
      <w:r>
        <w:rPr>
          <w:rFonts w:eastAsia="BatangChe"/>
        </w:rPr>
        <w:t>Sur le troisième réservé aux petites entreprises innovantes.</w:t>
      </w:r>
    </w:p>
    <w:p w:rsidR="00621428" w:rsidRDefault="00621428" w:rsidP="00621428">
      <w:pPr>
        <w:pStyle w:val="Paragraphedeliste"/>
        <w:ind w:left="1353"/>
        <w:rPr>
          <w:rFonts w:eastAsia="BatangChe"/>
        </w:rPr>
      </w:pPr>
    </w:p>
    <w:p w:rsidR="00621428" w:rsidRPr="00621428" w:rsidRDefault="00621428" w:rsidP="0002021D">
      <w:pPr>
        <w:pStyle w:val="Paragraphedeliste"/>
        <w:numPr>
          <w:ilvl w:val="0"/>
          <w:numId w:val="54"/>
        </w:numPr>
        <w:rPr>
          <w:rFonts w:eastAsia="BatangChe"/>
        </w:rPr>
      </w:pPr>
      <w:r w:rsidRPr="00621428">
        <w:rPr>
          <w:rFonts w:eastAsia="BatangChe"/>
          <w:color w:val="FF0000"/>
        </w:rPr>
        <w:t>Le marché de blocs :</w:t>
      </w:r>
    </w:p>
    <w:p w:rsidR="00621428" w:rsidRDefault="00621428" w:rsidP="00621428">
      <w:pPr>
        <w:rPr>
          <w:rFonts w:eastAsia="BatangChe"/>
        </w:rPr>
      </w:pPr>
      <w:r>
        <w:rPr>
          <w:rFonts w:eastAsia="BatangChe"/>
        </w:rPr>
        <w:t>C’est le marché sur lequel se fait la négociation directement entre l’acheteur et le vendeur (entre les représentants des deux et non publiquement). Les négociations sur ce marché a pour objet des volumes importants, et les intervenant sont généralement les institutionnels.</w:t>
      </w:r>
    </w:p>
    <w:p w:rsidR="009040A2" w:rsidRDefault="009040A2" w:rsidP="00621428">
      <w:pPr>
        <w:rPr>
          <w:rFonts w:eastAsia="BatangChe"/>
        </w:rPr>
      </w:pPr>
    </w:p>
    <w:p w:rsidR="009040A2" w:rsidRDefault="009040A2" w:rsidP="00621428">
      <w:pPr>
        <w:rPr>
          <w:rFonts w:eastAsia="BatangChe"/>
        </w:rPr>
      </w:pPr>
    </w:p>
    <w:p w:rsidR="009040A2" w:rsidRDefault="009040A2" w:rsidP="00621428">
      <w:pPr>
        <w:rPr>
          <w:rFonts w:eastAsia="BatangChe"/>
        </w:rPr>
      </w:pPr>
    </w:p>
    <w:p w:rsidR="009040A2" w:rsidRDefault="009040A2" w:rsidP="00621428">
      <w:pPr>
        <w:rPr>
          <w:rFonts w:eastAsia="BatangChe"/>
        </w:rPr>
      </w:pPr>
    </w:p>
    <w:p w:rsidR="00621428" w:rsidRDefault="00B10A41" w:rsidP="00621428">
      <w:pPr>
        <w:rPr>
          <w:rFonts w:eastAsia="BatangChe"/>
        </w:rPr>
      </w:pPr>
      <w:r>
        <w:rPr>
          <w:rFonts w:eastAsia="BatangChe"/>
          <w:noProof/>
          <w:lang w:eastAsia="fr-FR"/>
        </w:rPr>
        <w:pict>
          <v:shape id="_x0000_s1078" type="#_x0000_t13" style="position:absolute;margin-left:.4pt;margin-top:7.95pt;width:35.25pt;height:7.15pt;z-index:251696128"/>
        </w:pict>
      </w:r>
      <w:r w:rsidR="00621428">
        <w:rPr>
          <w:rFonts w:eastAsia="BatangChe"/>
        </w:rPr>
        <w:t xml:space="preserve">                Pour analyser l’importance du marché boursier on utilise les données statistiques </w:t>
      </w:r>
      <w:r w:rsidR="000653EB">
        <w:rPr>
          <w:rFonts w:eastAsia="BatangChe"/>
        </w:rPr>
        <w:t>suivantes</w:t>
      </w:r>
      <w:r w:rsidR="00621428">
        <w:rPr>
          <w:rFonts w:eastAsia="BatangChe"/>
        </w:rPr>
        <w:t> :</w:t>
      </w:r>
    </w:p>
    <w:p w:rsidR="00621428" w:rsidRDefault="00621428" w:rsidP="0002021D">
      <w:pPr>
        <w:pStyle w:val="Paragraphedeliste"/>
        <w:numPr>
          <w:ilvl w:val="0"/>
          <w:numId w:val="55"/>
        </w:numPr>
        <w:rPr>
          <w:rFonts w:eastAsia="BatangChe"/>
        </w:rPr>
      </w:pPr>
      <w:r>
        <w:rPr>
          <w:rFonts w:eastAsia="BatangChe"/>
        </w:rPr>
        <w:t>Le nombre de sociétés cotées (au Maroc 75).</w:t>
      </w:r>
    </w:p>
    <w:p w:rsidR="00621428" w:rsidRDefault="00621428" w:rsidP="0002021D">
      <w:pPr>
        <w:pStyle w:val="Paragraphedeliste"/>
        <w:numPr>
          <w:ilvl w:val="0"/>
          <w:numId w:val="55"/>
        </w:numPr>
        <w:rPr>
          <w:rFonts w:eastAsia="BatangChe"/>
        </w:rPr>
      </w:pPr>
      <w:r>
        <w:rPr>
          <w:rFonts w:eastAsia="BatangChe"/>
        </w:rPr>
        <w:t xml:space="preserve">La capitalisation boursière, qui peut être défini comme </w:t>
      </w:r>
      <w:r w:rsidR="000653EB">
        <w:rPr>
          <w:rFonts w:eastAsia="BatangChe"/>
        </w:rPr>
        <w:t>étant la somme des cours multiplié par leurs valeurs, il sert à comparer les bourses internationales.</w:t>
      </w:r>
    </w:p>
    <w:p w:rsidR="000653EB" w:rsidRDefault="000653EB" w:rsidP="0002021D">
      <w:pPr>
        <w:pStyle w:val="Paragraphedeliste"/>
        <w:numPr>
          <w:ilvl w:val="0"/>
          <w:numId w:val="55"/>
        </w:numPr>
        <w:rPr>
          <w:rFonts w:eastAsia="BatangChe"/>
        </w:rPr>
      </w:pPr>
      <w:r>
        <w:rPr>
          <w:rFonts w:eastAsia="BatangChe"/>
        </w:rPr>
        <w:t xml:space="preserve">On peut même calculer le ratio suivant </w:t>
      </w:r>
      <m:oMath>
        <m:r>
          <m:rPr>
            <m:sty m:val="p"/>
          </m:rPr>
          <w:rPr>
            <w:rFonts w:ascii="Cambria Math" w:eastAsia="BatangChe" w:hAnsi="Cambria Math" w:cs="Cambria Math"/>
            <w:color w:val="FF0000"/>
          </w:rPr>
          <m:t>=</m:t>
        </m:r>
        <m:f>
          <m:fPr>
            <m:ctrlPr>
              <w:rPr>
                <w:rFonts w:ascii="Cambria Math" w:eastAsia="BatangChe" w:hAnsi="Cambria Math"/>
                <w:color w:val="FF0000"/>
              </w:rPr>
            </m:ctrlPr>
          </m:fPr>
          <m:num>
            <m:r>
              <m:rPr>
                <m:sty m:val="p"/>
              </m:rPr>
              <w:rPr>
                <w:rFonts w:ascii="Cambria Math" w:eastAsia="BatangChe" w:hAnsi="Cambria Math" w:cs="Cambria Math"/>
                <w:color w:val="FF0000"/>
              </w:rPr>
              <m:t>la capitalisation boursière</m:t>
            </m:r>
          </m:num>
          <m:den>
            <m:r>
              <m:rPr>
                <m:sty m:val="p"/>
              </m:rPr>
              <w:rPr>
                <w:rFonts w:ascii="Cambria Math" w:eastAsia="BatangChe" w:hAnsi="Cambria Math" w:cs="Cambria Math"/>
                <w:color w:val="FF0000"/>
              </w:rPr>
              <m:t>PIB</m:t>
            </m:r>
          </m:den>
        </m:f>
      </m:oMath>
      <w:r>
        <w:rPr>
          <w:rFonts w:eastAsia="BatangChe"/>
          <w:color w:val="FF0000"/>
        </w:rPr>
        <w:t xml:space="preserve">  </w:t>
      </w:r>
      <w:r w:rsidRPr="000653EB">
        <w:rPr>
          <w:rFonts w:eastAsia="BatangChe"/>
        </w:rPr>
        <w:t>pour analyser l’importance du marché.</w:t>
      </w:r>
    </w:p>
    <w:p w:rsidR="000653EB" w:rsidRPr="000653EB" w:rsidRDefault="000653EB" w:rsidP="0002021D">
      <w:pPr>
        <w:pStyle w:val="Paragraphedeliste"/>
        <w:numPr>
          <w:ilvl w:val="0"/>
          <w:numId w:val="55"/>
        </w:numPr>
        <w:rPr>
          <w:rFonts w:eastAsia="BatangChe"/>
        </w:rPr>
      </w:pPr>
      <w:r>
        <w:rPr>
          <w:rFonts w:eastAsia="BatangChe"/>
        </w:rPr>
        <w:t>Les indices boursiers : MASI et MADEX, pour le MASI c’est un indice boursier général, dans lequel on trouve les 75 titres cotés. Et le MADEX ne tient compte que des titres les plus liquides.</w:t>
      </w:r>
    </w:p>
    <w:p w:rsidR="00C079BE" w:rsidRDefault="00C079BE" w:rsidP="00474FD8">
      <w:pPr>
        <w:pStyle w:val="Paragraphedeliste"/>
        <w:rPr>
          <w:rFonts w:eastAsia="BatangChe"/>
        </w:rPr>
      </w:pPr>
    </w:p>
    <w:p w:rsidR="00C079BE" w:rsidRPr="00C079BE" w:rsidRDefault="00C079BE" w:rsidP="00474FD8">
      <w:pPr>
        <w:ind w:left="360"/>
        <w:rPr>
          <w:rFonts w:eastAsia="BatangChe"/>
        </w:rPr>
      </w:pPr>
    </w:p>
    <w:p w:rsidR="00465CD1" w:rsidRPr="00901D86" w:rsidRDefault="00465CD1" w:rsidP="00474FD8">
      <w:pPr>
        <w:pStyle w:val="Paragraphedeliste"/>
        <w:rPr>
          <w:rFonts w:eastAsia="BatangChe"/>
          <w:color w:val="00B0F0"/>
        </w:rPr>
      </w:pPr>
    </w:p>
    <w:p w:rsidR="00465CD1" w:rsidRPr="00465CD1" w:rsidRDefault="00465CD1" w:rsidP="00474FD8">
      <w:pPr>
        <w:rPr>
          <w:rFonts w:eastAsia="BatangChe"/>
        </w:rPr>
      </w:pPr>
    </w:p>
    <w:p w:rsidR="00465CD1" w:rsidRPr="00465CD1" w:rsidRDefault="00465CD1" w:rsidP="00474FD8">
      <w:pPr>
        <w:rPr>
          <w:rFonts w:eastAsia="BatangChe"/>
        </w:rPr>
      </w:pPr>
    </w:p>
    <w:sectPr w:rsidR="00465CD1" w:rsidRPr="00465CD1" w:rsidSect="0056616A">
      <w:footerReference w:type="default" r:id="rId16"/>
      <w:pgSz w:w="11906" w:h="16838"/>
      <w:pgMar w:top="1417"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D27" w:rsidRDefault="00576D27" w:rsidP="00B61DA5">
      <w:pPr>
        <w:spacing w:after="0" w:line="240" w:lineRule="auto"/>
      </w:pPr>
      <w:r>
        <w:separator/>
      </w:r>
    </w:p>
  </w:endnote>
  <w:endnote w:type="continuationSeparator" w:id="1">
    <w:p w:rsidR="00576D27" w:rsidRDefault="00576D27" w:rsidP="00B61D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032"/>
      <w:docPartObj>
        <w:docPartGallery w:val="Page Numbers (Bottom of Page)"/>
        <w:docPartUnique/>
      </w:docPartObj>
    </w:sdtPr>
    <w:sdtContent>
      <w:p w:rsidR="00621428" w:rsidRDefault="00B85EE7">
        <w:pPr>
          <w:pStyle w:val="Pieddepage"/>
          <w:ind w:right="-864"/>
          <w:jc w:val="right"/>
        </w:pPr>
        <w:r>
          <w:t>RWH</w:t>
        </w:r>
        <w:r w:rsidR="00B10A41">
          <w:pict>
            <v:group id="_x0000_s7169" style="width:43.2pt;height:18.7pt;mso-position-horizontal-relative:char;mso-position-vertical-relative:line" coordorigin="614,660" coordsize="864,374">
              <v:roundrect id="_x0000_s7170" style="position:absolute;left:859;top:415;width:374;height:864;rotation:-90" arcsize="10923f" strokecolor="#c4bc96 [2414]"/>
              <v:roundrect id="_x0000_s7171" style="position:absolute;left:898;top:451;width:296;height:792;rotation:-90" arcsize="10923f" fillcolor="#c4bc96 [2414]" strokecolor="#c4bc96 [2414]"/>
              <v:shapetype id="_x0000_t202" coordsize="21600,21600" o:spt="202" path="m,l,21600r21600,l21600,xe">
                <v:stroke joinstyle="miter"/>
                <v:path gradientshapeok="t" o:connecttype="rect"/>
              </v:shapetype>
              <v:shape id="_x0000_s7172" type="#_x0000_t202" style="position:absolute;left:732;top:716;width:659;height:288" filled="f" stroked="f">
                <v:textbox style="mso-next-textbox:#_x0000_s7172" inset="0,0,0,0">
                  <w:txbxContent>
                    <w:p w:rsidR="00621428" w:rsidRDefault="00B10A41">
                      <w:pPr>
                        <w:rPr>
                          <w:color w:val="FFFFFF" w:themeColor="background1"/>
                        </w:rPr>
                      </w:pPr>
                      <w:fldSimple w:instr=" PAGE    \* MERGEFORMAT ">
                        <w:r w:rsidR="004618C9" w:rsidRPr="004618C9">
                          <w:rPr>
                            <w:b/>
                            <w:noProof/>
                            <w:color w:val="FFFFFF" w:themeColor="background1"/>
                          </w:rPr>
                          <w:t>2</w:t>
                        </w:r>
                      </w:fldSimple>
                    </w:p>
                  </w:txbxContent>
                </v:textbox>
              </v:shape>
              <w10:wrap type="none" anchorx="page" anchory="page"/>
              <w10:anchorlock/>
            </v:group>
          </w:pict>
        </w:r>
      </w:p>
    </w:sdtContent>
  </w:sdt>
  <w:p w:rsidR="00621428" w:rsidRDefault="0062142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D27" w:rsidRDefault="00576D27" w:rsidP="00B61DA5">
      <w:pPr>
        <w:spacing w:after="0" w:line="240" w:lineRule="auto"/>
      </w:pPr>
      <w:r>
        <w:separator/>
      </w:r>
    </w:p>
  </w:footnote>
  <w:footnote w:type="continuationSeparator" w:id="1">
    <w:p w:rsidR="00576D27" w:rsidRDefault="00576D27" w:rsidP="00B61DA5">
      <w:pPr>
        <w:spacing w:after="0" w:line="240" w:lineRule="auto"/>
      </w:pPr>
      <w:r>
        <w:continuationSeparator/>
      </w:r>
    </w:p>
  </w:footnote>
  <w:footnote w:id="2">
    <w:p w:rsidR="00621428" w:rsidRDefault="00621428" w:rsidP="002E5FEE">
      <w:pPr>
        <w:pStyle w:val="Notedebasdepage"/>
        <w:jc w:val="both"/>
      </w:pPr>
      <w:r>
        <w:rPr>
          <w:rStyle w:val="Appelnotedebasdep"/>
        </w:rPr>
        <w:footnoteRef/>
      </w:r>
      <w:r>
        <w:t xml:space="preserve"> Les crédits peuvent être étudiés : soit par terme (court, moyens, longs) ; soi par objectifs (mobiliers, auto, consommation).</w:t>
      </w:r>
    </w:p>
  </w:footnote>
  <w:footnote w:id="3">
    <w:p w:rsidR="00621428" w:rsidRDefault="00621428" w:rsidP="002E5FEE">
      <w:pPr>
        <w:pStyle w:val="Notedebasdepage"/>
        <w:jc w:val="both"/>
      </w:pPr>
      <w:r>
        <w:rPr>
          <w:rStyle w:val="Appelnotedebasdep"/>
        </w:rPr>
        <w:footnoteRef/>
      </w:r>
      <w:r>
        <w:t xml:space="preserve"> Les dépôts à vue constituent la principale ressource bancaire.</w:t>
      </w:r>
    </w:p>
  </w:footnote>
  <w:footnote w:id="4">
    <w:p w:rsidR="00621428" w:rsidRDefault="00621428" w:rsidP="002E5FEE">
      <w:pPr>
        <w:pStyle w:val="Notedebasdepage"/>
        <w:jc w:val="both"/>
      </w:pPr>
      <w:r>
        <w:rPr>
          <w:rStyle w:val="Appelnotedebasdep"/>
        </w:rPr>
        <w:footnoteRef/>
      </w:r>
      <w:r>
        <w:t xml:space="preserve">Les OPCVM sont de quatre types : </w:t>
      </w:r>
    </w:p>
    <w:p w:rsidR="00621428" w:rsidRDefault="00621428" w:rsidP="0002021D">
      <w:pPr>
        <w:pStyle w:val="Notedebasdepage"/>
        <w:numPr>
          <w:ilvl w:val="0"/>
          <w:numId w:val="31"/>
        </w:numPr>
        <w:jc w:val="both"/>
      </w:pPr>
      <w:r w:rsidRPr="00DC0931">
        <w:rPr>
          <w:b/>
          <w:bCs/>
        </w:rPr>
        <w:t>les OPCVM monétaires</w:t>
      </w:r>
      <w:r>
        <w:t xml:space="preserve"> spécialisés en  placement dans le marché monétaire. </w:t>
      </w:r>
    </w:p>
    <w:p w:rsidR="00621428" w:rsidRDefault="00621428" w:rsidP="0002021D">
      <w:pPr>
        <w:pStyle w:val="Notedebasdepage"/>
        <w:numPr>
          <w:ilvl w:val="0"/>
          <w:numId w:val="31"/>
        </w:numPr>
        <w:jc w:val="both"/>
      </w:pPr>
      <w:r w:rsidRPr="00DC0931">
        <w:rPr>
          <w:b/>
          <w:bCs/>
        </w:rPr>
        <w:t>les OPCVM</w:t>
      </w:r>
      <w:r>
        <w:t xml:space="preserve"> </w:t>
      </w:r>
      <w:r w:rsidRPr="00DC0931">
        <w:rPr>
          <w:b/>
          <w:bCs/>
        </w:rPr>
        <w:t>actions</w:t>
      </w:r>
      <w:r>
        <w:rPr>
          <w:b/>
          <w:bCs/>
        </w:rPr>
        <w:t>.</w:t>
      </w:r>
    </w:p>
    <w:p w:rsidR="00621428" w:rsidRPr="002E5FEE" w:rsidRDefault="00621428" w:rsidP="0002021D">
      <w:pPr>
        <w:pStyle w:val="Notedebasdepage"/>
        <w:numPr>
          <w:ilvl w:val="0"/>
          <w:numId w:val="31"/>
        </w:numPr>
        <w:jc w:val="both"/>
      </w:pPr>
      <w:r w:rsidRPr="00DC0931">
        <w:rPr>
          <w:b/>
          <w:bCs/>
        </w:rPr>
        <w:t>les OPCVM obligations</w:t>
      </w:r>
      <w:r>
        <w:rPr>
          <w:b/>
          <w:bCs/>
        </w:rPr>
        <w:t xml:space="preserve">. </w:t>
      </w:r>
    </w:p>
    <w:p w:rsidR="00621428" w:rsidRDefault="00621428" w:rsidP="0002021D">
      <w:pPr>
        <w:pStyle w:val="Notedebasdepage"/>
        <w:numPr>
          <w:ilvl w:val="0"/>
          <w:numId w:val="31"/>
        </w:numPr>
        <w:jc w:val="both"/>
      </w:pPr>
      <w:r w:rsidRPr="00DC0931">
        <w:rPr>
          <w:b/>
          <w:bCs/>
        </w:rPr>
        <w:t>les OPCVM diversifié</w:t>
      </w:r>
      <w:r>
        <w:rPr>
          <w:b/>
          <w:bCs/>
        </w:rPr>
        <w:t>s</w:t>
      </w:r>
      <w:r w:rsidRPr="00DC0931">
        <w:rPr>
          <w:b/>
          <w:bCs/>
        </w:rPr>
        <w:t>.</w:t>
      </w:r>
    </w:p>
    <w:p w:rsidR="00621428" w:rsidRDefault="00621428" w:rsidP="002E5FEE">
      <w:pPr>
        <w:pStyle w:val="Notedebasdepage"/>
        <w:jc w:val="both"/>
      </w:pPr>
      <w:r>
        <w:t xml:space="preserve">Juridiquement les OPCVM sont de2 type : </w:t>
      </w:r>
    </w:p>
    <w:p w:rsidR="00621428" w:rsidRDefault="00621428" w:rsidP="0002021D">
      <w:pPr>
        <w:pStyle w:val="Notedebasdepage"/>
        <w:numPr>
          <w:ilvl w:val="0"/>
          <w:numId w:val="32"/>
        </w:numPr>
        <w:jc w:val="both"/>
      </w:pPr>
      <w:r w:rsidRPr="00C800B1">
        <w:rPr>
          <w:b/>
          <w:bCs/>
        </w:rPr>
        <w:t>les SICAV</w:t>
      </w:r>
      <w:r>
        <w:t xml:space="preserve"> des sociétés d’investissement à capital variable, celui –ci varie d’une manière continue en fonction des sorties et des entrées des investisseurs, ce sont des sociétés anonymes ayant personnalité morale, et leurs capitales varie en permanence. </w:t>
      </w:r>
    </w:p>
    <w:p w:rsidR="00621428" w:rsidRDefault="00621428" w:rsidP="0002021D">
      <w:pPr>
        <w:pStyle w:val="Notedebasdepage"/>
        <w:numPr>
          <w:ilvl w:val="0"/>
          <w:numId w:val="32"/>
        </w:numPr>
        <w:jc w:val="both"/>
      </w:pPr>
      <w:r w:rsidRPr="00C800B1">
        <w:rPr>
          <w:b/>
          <w:bCs/>
        </w:rPr>
        <w:t>Le FCP</w:t>
      </w:r>
      <w:r>
        <w:t xml:space="preserve"> les fonds communs de placement ces organismes non pas de personnalité morale. </w:t>
      </w:r>
    </w:p>
    <w:p w:rsidR="00621428" w:rsidRDefault="00621428" w:rsidP="002E5FEE">
      <w:pPr>
        <w:pStyle w:val="Notedebasdepage"/>
        <w:jc w:val="both"/>
      </w:pPr>
      <w:r>
        <w:t>L’importance des OPCVM, c’est principalement la gestion des portefeuilles (par conséquent du risque financier) par des spécialistes. L’acquisition des titres OPCVM se fait par le prix d’entrée, la vente se fait par le prix de sortie, qui est toujours supérieur au premier. D’où l’obligation d’évaluer en permanence la valeur de ces titres. Les investisseurs doivent payer des frais d’entrée et des frais de sortie.</w:t>
      </w:r>
    </w:p>
  </w:footnote>
  <w:footnote w:id="5">
    <w:p w:rsidR="00621428" w:rsidRDefault="00621428" w:rsidP="0002021D">
      <w:pPr>
        <w:pStyle w:val="Notedebasdepage"/>
        <w:numPr>
          <w:ilvl w:val="0"/>
          <w:numId w:val="34"/>
        </w:numPr>
        <w:jc w:val="both"/>
      </w:pPr>
      <w:r>
        <w:rPr>
          <w:rStyle w:val="Appelnotedebasdep"/>
        </w:rPr>
        <w:footnoteRef/>
      </w:r>
      <w:r>
        <w:t xml:space="preserve"> Le marché monétaire : c’est le marché des capitaux à court terme, sur ce marché se fait la négociation des TCN (les titres de créances négociables), à savoir les bons de trésor à court terme émis par le trésor public ; les billets de trésorerie émis par des entreprises non financières ; les certificats de dépôt émis par les banques ; et les BSF (bons de sociétés de financement). </w:t>
      </w:r>
    </w:p>
    <w:p w:rsidR="00621428" w:rsidRDefault="00621428" w:rsidP="0002021D">
      <w:pPr>
        <w:pStyle w:val="Notedebasdepage"/>
        <w:numPr>
          <w:ilvl w:val="0"/>
          <w:numId w:val="33"/>
        </w:numPr>
        <w:jc w:val="both"/>
      </w:pPr>
      <w:r>
        <w:t>Le marché financier c’est le marché des capitaux à long et moyen terme : sur ce marché se fait l’émission et la négociation des valeurs mobilières à savoir des actions et les obligations.</w:t>
      </w:r>
    </w:p>
  </w:footnote>
  <w:footnote w:id="6">
    <w:p w:rsidR="00621428" w:rsidRDefault="00621428" w:rsidP="00E96C7A">
      <w:pPr>
        <w:pStyle w:val="Notedebasdepage"/>
        <w:jc w:val="both"/>
      </w:pPr>
      <w:r>
        <w:rPr>
          <w:rStyle w:val="Appelnotedebasdep"/>
        </w:rPr>
        <w:footnoteRef/>
      </w:r>
      <w:r>
        <w:t xml:space="preserve"> L’affacturage : une activité assimilés aux opérations de crédit, c’est une activité de recouvrement des créances. Mais il n’est pas développée car il est sélectif et les petites entreprises ni recourt par elles ont un attachement à sa clientèle.</w:t>
      </w:r>
    </w:p>
  </w:footnote>
  <w:footnote w:id="7">
    <w:p w:rsidR="00621428" w:rsidRDefault="00621428">
      <w:pPr>
        <w:pStyle w:val="Notedebasdepage"/>
      </w:pPr>
      <w:r w:rsidRPr="00ED4D99">
        <w:rPr>
          <w:rStyle w:val="Appelnotedebasdep"/>
        </w:rPr>
        <w:footnoteRef/>
      </w:r>
      <w:r>
        <w:t xml:space="preserve"> </w:t>
      </w:r>
      <w:r w:rsidRPr="00ED4D99">
        <w:t>Voir des contreparties : les avoirs extérieurs nets</w:t>
      </w:r>
      <w:r>
        <w:rPr>
          <w:rFonts w:eastAsia="BatangChe"/>
          <w:sz w:val="24"/>
          <w:szCs w:val="24"/>
        </w:rPr>
        <w:t>.</w:t>
      </w:r>
    </w:p>
  </w:footnote>
  <w:footnote w:id="8">
    <w:p w:rsidR="00621428" w:rsidRDefault="00621428" w:rsidP="00731917">
      <w:pPr>
        <w:pStyle w:val="Notedebasdepage"/>
      </w:pPr>
      <w:r>
        <w:rPr>
          <w:rStyle w:val="Appelnotedebasdep"/>
        </w:rPr>
        <w:footnoteRef/>
      </w:r>
      <w:r>
        <w:t xml:space="preserve"> Avant la banque devait avoir deux comptes : un spécial et un courant. Maintenant un seul compte courant  et ces comptes sont désormais rémunérés (la libéralisation) avec un taux de 0,75(faible).</w:t>
      </w:r>
    </w:p>
  </w:footnote>
  <w:footnote w:id="9">
    <w:p w:rsidR="00621428" w:rsidRDefault="00621428" w:rsidP="00731917">
      <w:pPr>
        <w:pStyle w:val="Notedebasdepage"/>
      </w:pPr>
      <w:r>
        <w:rPr>
          <w:rStyle w:val="Appelnotedebasdep"/>
        </w:rPr>
        <w:footnoteRef/>
      </w:r>
      <w:r>
        <w:t xml:space="preserve"> La banque centrale demande </w:t>
      </w:r>
      <w:r w:rsidRPr="00731917">
        <w:t xml:space="preserve">comme garantie </w:t>
      </w:r>
      <w:r>
        <w:t xml:space="preserve">60 % de titres publics de la quantité de monnaie demandée. </w:t>
      </w:r>
    </w:p>
  </w:footnote>
  <w:footnote w:id="10">
    <w:p w:rsidR="00621428" w:rsidRDefault="00621428" w:rsidP="00652062">
      <w:pPr>
        <w:pStyle w:val="Notedebasdepage"/>
      </w:pPr>
      <w:r>
        <w:rPr>
          <w:rStyle w:val="Appelnotedebasdep"/>
        </w:rPr>
        <w:footnoteRef/>
      </w:r>
      <w:r>
        <w:t xml:space="preserve"> C’est conjoncturels, le premier à utiliser (ces rapides) avant les autres instruments.</w:t>
      </w:r>
    </w:p>
  </w:footnote>
  <w:footnote w:id="11">
    <w:p w:rsidR="00621428" w:rsidRDefault="00621428">
      <w:pPr>
        <w:pStyle w:val="Notedebasdepage"/>
      </w:pPr>
      <w:r>
        <w:rPr>
          <w:rStyle w:val="Appelnotedebasdep"/>
        </w:rPr>
        <w:footnoteRef/>
      </w:r>
      <w:r>
        <w:t xml:space="preserve"> La banque centrale est la corde que 47 % de la quantité demande de le reste de l’est encore vente au marché interbancaire</w:t>
      </w:r>
    </w:p>
  </w:footnote>
  <w:footnote w:id="12">
    <w:p w:rsidR="00621428" w:rsidRDefault="00621428">
      <w:pPr>
        <w:pStyle w:val="Notedebasdepage"/>
      </w:pPr>
      <w:r>
        <w:rPr>
          <w:rStyle w:val="Appelnotedebasdep"/>
        </w:rPr>
        <w:footnoteRef/>
      </w:r>
      <w:r>
        <w:t xml:space="preserve"> Pour évaluer le rôle de ce marché dans le financement de l’économie, on étudie un ensemble d’indicateurs statistiques dont notamment : la capitalisation boursière/PIB.</w:t>
      </w:r>
    </w:p>
  </w:footnote>
  <w:footnote w:id="13">
    <w:p w:rsidR="00621428" w:rsidRDefault="00621428" w:rsidP="00324412">
      <w:pPr>
        <w:pStyle w:val="Notedebasdepage"/>
      </w:pPr>
      <w:r>
        <w:rPr>
          <w:rStyle w:val="Appelnotedebasdep"/>
        </w:rPr>
        <w:footnoteRef/>
      </w:r>
      <w:r>
        <w:t xml:space="preserve"> Dans la réforme en prépare l’ouverture du capital social aux intervenants des aux institutions.</w:t>
      </w:r>
    </w:p>
  </w:footnote>
  <w:footnote w:id="14">
    <w:p w:rsidR="00621428" w:rsidRDefault="00621428" w:rsidP="00474FD8">
      <w:pPr>
        <w:pStyle w:val="Notedebasdepage"/>
        <w:jc w:val="both"/>
      </w:pPr>
      <w:r>
        <w:rPr>
          <w:rStyle w:val="Appelnotedebasdep"/>
        </w:rPr>
        <w:footnoteRef/>
      </w:r>
      <w:r>
        <w:t xml:space="preserve"> Un ordre boursier peut être donné de deux manières</w:t>
      </w:r>
    </w:p>
    <w:p w:rsidR="00621428" w:rsidRDefault="00621428" w:rsidP="0002021D">
      <w:pPr>
        <w:pStyle w:val="Notedebasdepage"/>
        <w:numPr>
          <w:ilvl w:val="0"/>
          <w:numId w:val="50"/>
        </w:numPr>
        <w:jc w:val="both"/>
      </w:pPr>
      <w:r>
        <w:t>Un ordre en mieux : C’est l’ordre dans lequel le donneur d’ordre ne fixe aucun prix est dans ce cas l’exécutions doit se faire aux prix courant du marché.</w:t>
      </w:r>
    </w:p>
    <w:p w:rsidR="00621428" w:rsidRDefault="00621428" w:rsidP="0002021D">
      <w:pPr>
        <w:pStyle w:val="Notedebasdepage"/>
        <w:numPr>
          <w:ilvl w:val="0"/>
          <w:numId w:val="50"/>
        </w:numPr>
        <w:jc w:val="both"/>
      </w:pPr>
      <w:r>
        <w:t>L’ordre à court limité : dans ce cas le donneur d’ordres fixe le prix avec lequel il souhaite l’exécution, s’il s’agit d’un ordre d’achat : la société boursière ne doit exécuter l’ordre qu’avec un cours  inférieur ou égal au cours fixé par le donneur d’ordre. Au contraire  s’il s’agit d’un ordre de vente : la société ne peut exécuter qu’avec un cours supérieur ou égal à celui fixé par le donneur d'ordre.</w:t>
      </w:r>
    </w:p>
    <w:p w:rsidR="00621428" w:rsidRDefault="00621428" w:rsidP="00214EF1">
      <w:pPr>
        <w:pStyle w:val="Notedebasdepage"/>
        <w:jc w:val="both"/>
      </w:pPr>
      <w:r>
        <w:t>On peu ajouter parfois la remarque suivante : L'exécution doit être totale ou pas du tout.</w:t>
      </w:r>
    </w:p>
    <w:p w:rsidR="00621428" w:rsidRDefault="00621428" w:rsidP="00474FD8">
      <w:pPr>
        <w:pStyle w:val="Notedebasdepage"/>
        <w:jc w:val="both"/>
      </w:pPr>
      <w:r>
        <w:t xml:space="preserve">Pour être accepté un ordre doit avoir les informations suivant : </w:t>
      </w:r>
    </w:p>
    <w:p w:rsidR="00621428" w:rsidRDefault="00621428" w:rsidP="0002021D">
      <w:pPr>
        <w:pStyle w:val="Notedebasdepage"/>
        <w:numPr>
          <w:ilvl w:val="0"/>
          <w:numId w:val="52"/>
        </w:numPr>
        <w:jc w:val="both"/>
      </w:pPr>
      <w:r>
        <w:t xml:space="preserve">la quantité de titres.  </w:t>
      </w:r>
    </w:p>
    <w:p w:rsidR="00621428" w:rsidRDefault="00621428" w:rsidP="0002021D">
      <w:pPr>
        <w:pStyle w:val="Notedebasdepage"/>
        <w:numPr>
          <w:ilvl w:val="0"/>
          <w:numId w:val="52"/>
        </w:numPr>
        <w:jc w:val="both"/>
      </w:pPr>
      <w:r>
        <w:t xml:space="preserve">la date de la séance. </w:t>
      </w:r>
    </w:p>
    <w:p w:rsidR="00621428" w:rsidRDefault="00621428" w:rsidP="0002021D">
      <w:pPr>
        <w:pStyle w:val="Notedebasdepage"/>
        <w:numPr>
          <w:ilvl w:val="0"/>
          <w:numId w:val="52"/>
        </w:numPr>
        <w:jc w:val="both"/>
      </w:pPr>
      <w:r>
        <w:t>la durée de la validité de l'ordre, celle -ci doit être comprise entre 24h et 30 jours.</w:t>
      </w:r>
    </w:p>
    <w:p w:rsidR="00621428" w:rsidRDefault="00621428" w:rsidP="00214EF1">
      <w:pPr>
        <w:pStyle w:val="Notedebasdepage"/>
        <w:jc w:val="both"/>
      </w:pPr>
      <w:r>
        <w:t>Ses ordres sont donnés à un collecteur d'ordre qui est  généralement la banque qui va transmettre à son tour l'ordre à la société boursière, le deuxième type de collecteurs d'ordre.</w:t>
      </w:r>
    </w:p>
    <w:p w:rsidR="00621428" w:rsidRDefault="00621428" w:rsidP="00214EF1">
      <w:pPr>
        <w:pStyle w:val="Notedebasdepage"/>
        <w:jc w:val="both"/>
      </w:pPr>
      <w:r>
        <w:t>Ces ordres peuvent être transmis soit par poste, soit par informatique, soit par téléphone ou fax, mais ils doivent être enregistrés.</w:t>
      </w:r>
    </w:p>
    <w:p w:rsidR="00621428" w:rsidRDefault="00621428" w:rsidP="005F5735">
      <w:pPr>
        <w:pStyle w:val="Notedebasdepage"/>
        <w:jc w:val="both"/>
      </w:pPr>
      <w:r>
        <w:t>Le cours boursier c’est le prix du marché qui résulte de la confrontation de l’offre et de la demande des titres pour fixer un prix d'équilibre avec lequel les ordres doivent être exécutés. Cette confrontation est ce qu'on appelle la cotation.</w:t>
      </w:r>
    </w:p>
    <w:p w:rsidR="00621428" w:rsidRDefault="00621428" w:rsidP="005F5735">
      <w:pPr>
        <w:pStyle w:val="Notedebasdepage"/>
        <w:jc w:val="both"/>
      </w:pPr>
      <w:r>
        <w:t>La cotation se fait de trois manières :</w:t>
      </w:r>
    </w:p>
    <w:p w:rsidR="00621428" w:rsidRDefault="00621428" w:rsidP="0002021D">
      <w:pPr>
        <w:pStyle w:val="Notedebasdepage"/>
        <w:numPr>
          <w:ilvl w:val="0"/>
          <w:numId w:val="53"/>
        </w:numPr>
        <w:jc w:val="both"/>
      </w:pPr>
      <w:r>
        <w:t>la cotation au fixing : qui est une forme de cotation réservée aux titres faiblement liquide c'est à dire rares sur le marché dans ce cas la cotation ne se fait qu'une seule fois par séance (9h00 à 15h00).</w:t>
      </w:r>
    </w:p>
    <w:p w:rsidR="00621428" w:rsidRDefault="00621428" w:rsidP="0002021D">
      <w:pPr>
        <w:pStyle w:val="Notedebasdepage"/>
        <w:numPr>
          <w:ilvl w:val="0"/>
          <w:numId w:val="53"/>
        </w:numPr>
        <w:jc w:val="both"/>
      </w:pPr>
      <w:r>
        <w:t xml:space="preserve"> le multi fixing : réservé à des titres moyennement liquides et dans ce cas en fait la cotation deux à trois fois par séance (au Maroc 2 fois). </w:t>
      </w:r>
    </w:p>
    <w:p w:rsidR="00621428" w:rsidRDefault="00621428" w:rsidP="0002021D">
      <w:pPr>
        <w:pStyle w:val="Notedebasdepage"/>
        <w:numPr>
          <w:ilvl w:val="0"/>
          <w:numId w:val="53"/>
        </w:numPr>
        <w:jc w:val="both"/>
      </w:pPr>
      <w:r>
        <w:t>la cotation en continu : réservée aux titres plus liquides c'est à dire les plus demandés et les plus offerts sur le marché dans ce cas en fait n fois la cotation.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B00D"/>
      </v:shape>
    </w:pict>
  </w:numPicBullet>
  <w:abstractNum w:abstractNumId="0">
    <w:nsid w:val="026F0602"/>
    <w:multiLevelType w:val="hybridMultilevel"/>
    <w:tmpl w:val="470851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D6496D"/>
    <w:multiLevelType w:val="hybridMultilevel"/>
    <w:tmpl w:val="4B4CF11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A135C2"/>
    <w:multiLevelType w:val="hybridMultilevel"/>
    <w:tmpl w:val="8386500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985617F"/>
    <w:multiLevelType w:val="hybridMultilevel"/>
    <w:tmpl w:val="5FAA55D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F3F17BB"/>
    <w:multiLevelType w:val="hybridMultilevel"/>
    <w:tmpl w:val="402091C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nsid w:val="1C3A1CFB"/>
    <w:multiLevelType w:val="hybridMultilevel"/>
    <w:tmpl w:val="EA183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FE7E80"/>
    <w:multiLevelType w:val="hybridMultilevel"/>
    <w:tmpl w:val="9F5C3356"/>
    <w:lvl w:ilvl="0" w:tplc="7E18EF7E">
      <w:start w:val="3"/>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DEB7DE2"/>
    <w:multiLevelType w:val="hybridMultilevel"/>
    <w:tmpl w:val="5082EF9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236F0E6B"/>
    <w:multiLevelType w:val="hybridMultilevel"/>
    <w:tmpl w:val="8550C5F6"/>
    <w:lvl w:ilvl="0" w:tplc="7B90B4FE">
      <w:numFmt w:val="bullet"/>
      <w:lvlText w:val="-"/>
      <w:lvlJc w:val="left"/>
      <w:pPr>
        <w:ind w:left="1485" w:hanging="360"/>
      </w:pPr>
      <w:rPr>
        <w:rFonts w:ascii="Calibri" w:eastAsiaTheme="minorHAnsi" w:hAnsi="Calibri" w:cstheme="minorBidi"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9">
    <w:nsid w:val="240334E4"/>
    <w:multiLevelType w:val="hybridMultilevel"/>
    <w:tmpl w:val="8B386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4FE5E7E"/>
    <w:multiLevelType w:val="hybridMultilevel"/>
    <w:tmpl w:val="B9208728"/>
    <w:lvl w:ilvl="0" w:tplc="7B90B4F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74363D5"/>
    <w:multiLevelType w:val="hybridMultilevel"/>
    <w:tmpl w:val="5B02CE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28D645A9"/>
    <w:multiLevelType w:val="hybridMultilevel"/>
    <w:tmpl w:val="35A45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B8B1E5A"/>
    <w:multiLevelType w:val="hybridMultilevel"/>
    <w:tmpl w:val="22CE80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ECF71DC"/>
    <w:multiLevelType w:val="hybridMultilevel"/>
    <w:tmpl w:val="9ABED9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EDC6393"/>
    <w:multiLevelType w:val="hybridMultilevel"/>
    <w:tmpl w:val="80A6FC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F6D2BAB"/>
    <w:multiLevelType w:val="hybridMultilevel"/>
    <w:tmpl w:val="EB6C31CA"/>
    <w:lvl w:ilvl="0" w:tplc="7B90B4F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10C5DB1"/>
    <w:multiLevelType w:val="hybridMultilevel"/>
    <w:tmpl w:val="585E7A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1A830E8"/>
    <w:multiLevelType w:val="hybridMultilevel"/>
    <w:tmpl w:val="C4244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32434DD"/>
    <w:multiLevelType w:val="hybridMultilevel"/>
    <w:tmpl w:val="3CCE121C"/>
    <w:lvl w:ilvl="0" w:tplc="7B90B4FE">
      <w:numFmt w:val="bullet"/>
      <w:lvlText w:val="-"/>
      <w:lvlJc w:val="left"/>
      <w:pPr>
        <w:ind w:left="1485" w:hanging="360"/>
      </w:pPr>
      <w:rPr>
        <w:rFonts w:ascii="Calibri" w:eastAsiaTheme="minorHAnsi" w:hAnsi="Calibri" w:cstheme="minorBidi"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20">
    <w:nsid w:val="346126A5"/>
    <w:multiLevelType w:val="hybridMultilevel"/>
    <w:tmpl w:val="E83C0B54"/>
    <w:lvl w:ilvl="0" w:tplc="7B90B4FE">
      <w:numFmt w:val="bullet"/>
      <w:lvlText w:val="-"/>
      <w:lvlJc w:val="left"/>
      <w:pPr>
        <w:ind w:left="1485" w:hanging="360"/>
      </w:pPr>
      <w:rPr>
        <w:rFonts w:ascii="Calibri" w:eastAsiaTheme="minorHAnsi" w:hAnsi="Calibri" w:cstheme="minorBidi"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21">
    <w:nsid w:val="3BCA66E8"/>
    <w:multiLevelType w:val="hybridMultilevel"/>
    <w:tmpl w:val="62DC2B3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C7B78CD"/>
    <w:multiLevelType w:val="hybridMultilevel"/>
    <w:tmpl w:val="393CF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C98529E"/>
    <w:multiLevelType w:val="hybridMultilevel"/>
    <w:tmpl w:val="7CD8D9F4"/>
    <w:lvl w:ilvl="0" w:tplc="040C0011">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nsid w:val="3DF05C94"/>
    <w:multiLevelType w:val="hybridMultilevel"/>
    <w:tmpl w:val="EC506FE6"/>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3E8665FD"/>
    <w:multiLevelType w:val="hybridMultilevel"/>
    <w:tmpl w:val="CF5459DC"/>
    <w:lvl w:ilvl="0" w:tplc="77128C48">
      <w:start w:val="1"/>
      <w:numFmt w:val="decimal"/>
      <w:lvlText w:val="chapitre%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3EDE0528"/>
    <w:multiLevelType w:val="hybridMultilevel"/>
    <w:tmpl w:val="DF94AED8"/>
    <w:lvl w:ilvl="0" w:tplc="7B90B4FE">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3F6427F9"/>
    <w:multiLevelType w:val="hybridMultilevel"/>
    <w:tmpl w:val="6B4A83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3F904625"/>
    <w:multiLevelType w:val="hybridMultilevel"/>
    <w:tmpl w:val="68B8CC12"/>
    <w:lvl w:ilvl="0" w:tplc="040C000B">
      <w:start w:val="1"/>
      <w:numFmt w:val="bullet"/>
      <w:lvlText w:val=""/>
      <w:lvlJc w:val="left"/>
      <w:pPr>
        <w:ind w:left="1353" w:hanging="360"/>
      </w:pPr>
      <w:rPr>
        <w:rFonts w:ascii="Wingdings" w:hAnsi="Wingding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9">
    <w:nsid w:val="448278C0"/>
    <w:multiLevelType w:val="hybridMultilevel"/>
    <w:tmpl w:val="C92C4FF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4AD6BC8"/>
    <w:multiLevelType w:val="hybridMultilevel"/>
    <w:tmpl w:val="43B858C6"/>
    <w:lvl w:ilvl="0" w:tplc="040C0011">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1">
    <w:nsid w:val="4BED1065"/>
    <w:multiLevelType w:val="hybridMultilevel"/>
    <w:tmpl w:val="6F3AA7CE"/>
    <w:lvl w:ilvl="0" w:tplc="040C0007">
      <w:start w:val="1"/>
      <w:numFmt w:val="bullet"/>
      <w:lvlText w:val=""/>
      <w:lvlPicBulletId w:val="0"/>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2">
    <w:nsid w:val="4C75732B"/>
    <w:multiLevelType w:val="hybridMultilevel"/>
    <w:tmpl w:val="C63EE18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4E5964F0"/>
    <w:multiLevelType w:val="hybridMultilevel"/>
    <w:tmpl w:val="68D2B8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0D6590F"/>
    <w:multiLevelType w:val="hybridMultilevel"/>
    <w:tmpl w:val="DA105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38C6CF5"/>
    <w:multiLevelType w:val="hybridMultilevel"/>
    <w:tmpl w:val="650010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8AF7EFF"/>
    <w:multiLevelType w:val="hybridMultilevel"/>
    <w:tmpl w:val="633A25F2"/>
    <w:lvl w:ilvl="0" w:tplc="27AC6360">
      <w:start w:val="1"/>
      <w:numFmt w:val="lowerLetter"/>
      <w:lvlText w:val="%1."/>
      <w:lvlJc w:val="left"/>
      <w:pPr>
        <w:ind w:left="786" w:hanging="360"/>
      </w:pPr>
      <w:rPr>
        <w:color w:val="FF0000"/>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7">
    <w:nsid w:val="59F95F0F"/>
    <w:multiLevelType w:val="hybridMultilevel"/>
    <w:tmpl w:val="2FFC1DA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5B5E619E"/>
    <w:multiLevelType w:val="hybridMultilevel"/>
    <w:tmpl w:val="543AC7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5EC9226E"/>
    <w:multiLevelType w:val="hybridMultilevel"/>
    <w:tmpl w:val="F61E7AE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0">
    <w:nsid w:val="5FC83751"/>
    <w:multiLevelType w:val="hybridMultilevel"/>
    <w:tmpl w:val="A11E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1AE0E1F"/>
    <w:multiLevelType w:val="hybridMultilevel"/>
    <w:tmpl w:val="FAF2D4D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2657632"/>
    <w:multiLevelType w:val="hybridMultilevel"/>
    <w:tmpl w:val="54D60184"/>
    <w:lvl w:ilvl="0" w:tplc="040C0005">
      <w:start w:val="1"/>
      <w:numFmt w:val="bullet"/>
      <w:lvlText w:val=""/>
      <w:lvlJc w:val="left"/>
      <w:pPr>
        <w:ind w:left="1050" w:hanging="360"/>
      </w:pPr>
      <w:rPr>
        <w:rFonts w:ascii="Wingdings" w:hAnsi="Wingdings" w:hint="default"/>
      </w:rPr>
    </w:lvl>
    <w:lvl w:ilvl="1" w:tplc="040C0003" w:tentative="1">
      <w:start w:val="1"/>
      <w:numFmt w:val="bullet"/>
      <w:lvlText w:val="o"/>
      <w:lvlJc w:val="left"/>
      <w:pPr>
        <w:ind w:left="1770" w:hanging="360"/>
      </w:pPr>
      <w:rPr>
        <w:rFonts w:ascii="Courier New" w:hAnsi="Courier New" w:cs="Courier New" w:hint="default"/>
      </w:rPr>
    </w:lvl>
    <w:lvl w:ilvl="2" w:tplc="040C0005" w:tentative="1">
      <w:start w:val="1"/>
      <w:numFmt w:val="bullet"/>
      <w:lvlText w:val=""/>
      <w:lvlJc w:val="left"/>
      <w:pPr>
        <w:ind w:left="2490" w:hanging="360"/>
      </w:pPr>
      <w:rPr>
        <w:rFonts w:ascii="Wingdings" w:hAnsi="Wingdings" w:hint="default"/>
      </w:rPr>
    </w:lvl>
    <w:lvl w:ilvl="3" w:tplc="040C0001" w:tentative="1">
      <w:start w:val="1"/>
      <w:numFmt w:val="bullet"/>
      <w:lvlText w:val=""/>
      <w:lvlJc w:val="left"/>
      <w:pPr>
        <w:ind w:left="3210" w:hanging="360"/>
      </w:pPr>
      <w:rPr>
        <w:rFonts w:ascii="Symbol" w:hAnsi="Symbol" w:hint="default"/>
      </w:rPr>
    </w:lvl>
    <w:lvl w:ilvl="4" w:tplc="040C0003" w:tentative="1">
      <w:start w:val="1"/>
      <w:numFmt w:val="bullet"/>
      <w:lvlText w:val="o"/>
      <w:lvlJc w:val="left"/>
      <w:pPr>
        <w:ind w:left="3930" w:hanging="360"/>
      </w:pPr>
      <w:rPr>
        <w:rFonts w:ascii="Courier New" w:hAnsi="Courier New" w:cs="Courier New" w:hint="default"/>
      </w:rPr>
    </w:lvl>
    <w:lvl w:ilvl="5" w:tplc="040C0005" w:tentative="1">
      <w:start w:val="1"/>
      <w:numFmt w:val="bullet"/>
      <w:lvlText w:val=""/>
      <w:lvlJc w:val="left"/>
      <w:pPr>
        <w:ind w:left="4650" w:hanging="360"/>
      </w:pPr>
      <w:rPr>
        <w:rFonts w:ascii="Wingdings" w:hAnsi="Wingdings" w:hint="default"/>
      </w:rPr>
    </w:lvl>
    <w:lvl w:ilvl="6" w:tplc="040C0001" w:tentative="1">
      <w:start w:val="1"/>
      <w:numFmt w:val="bullet"/>
      <w:lvlText w:val=""/>
      <w:lvlJc w:val="left"/>
      <w:pPr>
        <w:ind w:left="5370" w:hanging="360"/>
      </w:pPr>
      <w:rPr>
        <w:rFonts w:ascii="Symbol" w:hAnsi="Symbol" w:hint="default"/>
      </w:rPr>
    </w:lvl>
    <w:lvl w:ilvl="7" w:tplc="040C0003" w:tentative="1">
      <w:start w:val="1"/>
      <w:numFmt w:val="bullet"/>
      <w:lvlText w:val="o"/>
      <w:lvlJc w:val="left"/>
      <w:pPr>
        <w:ind w:left="6090" w:hanging="360"/>
      </w:pPr>
      <w:rPr>
        <w:rFonts w:ascii="Courier New" w:hAnsi="Courier New" w:cs="Courier New" w:hint="default"/>
      </w:rPr>
    </w:lvl>
    <w:lvl w:ilvl="8" w:tplc="040C0005" w:tentative="1">
      <w:start w:val="1"/>
      <w:numFmt w:val="bullet"/>
      <w:lvlText w:val=""/>
      <w:lvlJc w:val="left"/>
      <w:pPr>
        <w:ind w:left="6810" w:hanging="360"/>
      </w:pPr>
      <w:rPr>
        <w:rFonts w:ascii="Wingdings" w:hAnsi="Wingdings" w:hint="default"/>
      </w:rPr>
    </w:lvl>
  </w:abstractNum>
  <w:abstractNum w:abstractNumId="43">
    <w:nsid w:val="64317EAF"/>
    <w:multiLevelType w:val="hybridMultilevel"/>
    <w:tmpl w:val="46BADC6A"/>
    <w:lvl w:ilvl="0" w:tplc="77128C48">
      <w:start w:val="1"/>
      <w:numFmt w:val="decimal"/>
      <w:lvlText w:val="chapitre%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652460A7"/>
    <w:multiLevelType w:val="hybridMultilevel"/>
    <w:tmpl w:val="6414F14C"/>
    <w:lvl w:ilvl="0" w:tplc="040C0005">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2924" w:hanging="360"/>
      </w:pPr>
      <w:rPr>
        <w:rFonts w:ascii="Courier New" w:hAnsi="Courier New" w:cs="Courier New" w:hint="default"/>
      </w:rPr>
    </w:lvl>
    <w:lvl w:ilvl="2" w:tplc="040C0005" w:tentative="1">
      <w:start w:val="1"/>
      <w:numFmt w:val="bullet"/>
      <w:lvlText w:val=""/>
      <w:lvlJc w:val="left"/>
      <w:pPr>
        <w:ind w:left="3644" w:hanging="360"/>
      </w:pPr>
      <w:rPr>
        <w:rFonts w:ascii="Wingdings" w:hAnsi="Wingdings" w:hint="default"/>
      </w:rPr>
    </w:lvl>
    <w:lvl w:ilvl="3" w:tplc="040C0001" w:tentative="1">
      <w:start w:val="1"/>
      <w:numFmt w:val="bullet"/>
      <w:lvlText w:val=""/>
      <w:lvlJc w:val="left"/>
      <w:pPr>
        <w:ind w:left="4364" w:hanging="360"/>
      </w:pPr>
      <w:rPr>
        <w:rFonts w:ascii="Symbol" w:hAnsi="Symbol" w:hint="default"/>
      </w:rPr>
    </w:lvl>
    <w:lvl w:ilvl="4" w:tplc="040C0003" w:tentative="1">
      <w:start w:val="1"/>
      <w:numFmt w:val="bullet"/>
      <w:lvlText w:val="o"/>
      <w:lvlJc w:val="left"/>
      <w:pPr>
        <w:ind w:left="5084" w:hanging="360"/>
      </w:pPr>
      <w:rPr>
        <w:rFonts w:ascii="Courier New" w:hAnsi="Courier New" w:cs="Courier New" w:hint="default"/>
      </w:rPr>
    </w:lvl>
    <w:lvl w:ilvl="5" w:tplc="040C0005" w:tentative="1">
      <w:start w:val="1"/>
      <w:numFmt w:val="bullet"/>
      <w:lvlText w:val=""/>
      <w:lvlJc w:val="left"/>
      <w:pPr>
        <w:ind w:left="5804" w:hanging="360"/>
      </w:pPr>
      <w:rPr>
        <w:rFonts w:ascii="Wingdings" w:hAnsi="Wingdings" w:hint="default"/>
      </w:rPr>
    </w:lvl>
    <w:lvl w:ilvl="6" w:tplc="040C0001" w:tentative="1">
      <w:start w:val="1"/>
      <w:numFmt w:val="bullet"/>
      <w:lvlText w:val=""/>
      <w:lvlJc w:val="left"/>
      <w:pPr>
        <w:ind w:left="6524" w:hanging="360"/>
      </w:pPr>
      <w:rPr>
        <w:rFonts w:ascii="Symbol" w:hAnsi="Symbol" w:hint="default"/>
      </w:rPr>
    </w:lvl>
    <w:lvl w:ilvl="7" w:tplc="040C0003" w:tentative="1">
      <w:start w:val="1"/>
      <w:numFmt w:val="bullet"/>
      <w:lvlText w:val="o"/>
      <w:lvlJc w:val="left"/>
      <w:pPr>
        <w:ind w:left="7244" w:hanging="360"/>
      </w:pPr>
      <w:rPr>
        <w:rFonts w:ascii="Courier New" w:hAnsi="Courier New" w:cs="Courier New" w:hint="default"/>
      </w:rPr>
    </w:lvl>
    <w:lvl w:ilvl="8" w:tplc="040C0005" w:tentative="1">
      <w:start w:val="1"/>
      <w:numFmt w:val="bullet"/>
      <w:lvlText w:val=""/>
      <w:lvlJc w:val="left"/>
      <w:pPr>
        <w:ind w:left="7964" w:hanging="360"/>
      </w:pPr>
      <w:rPr>
        <w:rFonts w:ascii="Wingdings" w:hAnsi="Wingdings" w:hint="default"/>
      </w:rPr>
    </w:lvl>
  </w:abstractNum>
  <w:abstractNum w:abstractNumId="45">
    <w:nsid w:val="66547B88"/>
    <w:multiLevelType w:val="hybridMultilevel"/>
    <w:tmpl w:val="B96012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68345BDE"/>
    <w:multiLevelType w:val="hybridMultilevel"/>
    <w:tmpl w:val="421A2E22"/>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47">
    <w:nsid w:val="6ECF422A"/>
    <w:multiLevelType w:val="hybridMultilevel"/>
    <w:tmpl w:val="2816287C"/>
    <w:lvl w:ilvl="0" w:tplc="7B90B4FE">
      <w:numFmt w:val="bullet"/>
      <w:lvlText w:val="-"/>
      <w:lvlJc w:val="left"/>
      <w:pPr>
        <w:ind w:left="249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28D5C67"/>
    <w:multiLevelType w:val="hybridMultilevel"/>
    <w:tmpl w:val="381CFE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nsid w:val="729B76FE"/>
    <w:multiLevelType w:val="hybridMultilevel"/>
    <w:tmpl w:val="94FE59B2"/>
    <w:lvl w:ilvl="0" w:tplc="7FDA5796">
      <w:start w:val="1"/>
      <w:numFmt w:val="upperLetter"/>
      <w:lvlText w:val="%1."/>
      <w:lvlJc w:val="left"/>
      <w:pPr>
        <w:ind w:left="720" w:hanging="360"/>
      </w:pPr>
      <w:rPr>
        <w:color w:val="984806" w:themeColor="accent6"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nsid w:val="742A327E"/>
    <w:multiLevelType w:val="hybridMultilevel"/>
    <w:tmpl w:val="DE2E14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78E820F2"/>
    <w:multiLevelType w:val="hybridMultilevel"/>
    <w:tmpl w:val="3154F40A"/>
    <w:lvl w:ilvl="0" w:tplc="040C000B">
      <w:start w:val="1"/>
      <w:numFmt w:val="bullet"/>
      <w:lvlText w:val=""/>
      <w:lvlJc w:val="left"/>
      <w:pPr>
        <w:ind w:left="1485" w:hanging="360"/>
      </w:pPr>
      <w:rPr>
        <w:rFonts w:ascii="Wingdings" w:hAnsi="Wingdings"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52">
    <w:nsid w:val="7B344B76"/>
    <w:multiLevelType w:val="hybridMultilevel"/>
    <w:tmpl w:val="75AA75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nsid w:val="7C6C2198"/>
    <w:multiLevelType w:val="hybridMultilevel"/>
    <w:tmpl w:val="F9500460"/>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4">
    <w:nsid w:val="7F1A503A"/>
    <w:multiLevelType w:val="hybridMultilevel"/>
    <w:tmpl w:val="EB247E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23"/>
  </w:num>
  <w:num w:numId="4">
    <w:abstractNumId w:val="5"/>
  </w:num>
  <w:num w:numId="5">
    <w:abstractNumId w:val="32"/>
  </w:num>
  <w:num w:numId="6">
    <w:abstractNumId w:val="39"/>
  </w:num>
  <w:num w:numId="7">
    <w:abstractNumId w:val="43"/>
  </w:num>
  <w:num w:numId="8">
    <w:abstractNumId w:val="6"/>
  </w:num>
  <w:num w:numId="9">
    <w:abstractNumId w:val="17"/>
  </w:num>
  <w:num w:numId="10">
    <w:abstractNumId w:val="38"/>
  </w:num>
  <w:num w:numId="11">
    <w:abstractNumId w:val="52"/>
  </w:num>
  <w:num w:numId="12">
    <w:abstractNumId w:val="11"/>
  </w:num>
  <w:num w:numId="13">
    <w:abstractNumId w:val="53"/>
  </w:num>
  <w:num w:numId="14">
    <w:abstractNumId w:val="42"/>
  </w:num>
  <w:num w:numId="15">
    <w:abstractNumId w:val="48"/>
  </w:num>
  <w:num w:numId="16">
    <w:abstractNumId w:val="47"/>
  </w:num>
  <w:num w:numId="17">
    <w:abstractNumId w:val="22"/>
  </w:num>
  <w:num w:numId="18">
    <w:abstractNumId w:val="4"/>
  </w:num>
  <w:num w:numId="19">
    <w:abstractNumId w:val="0"/>
  </w:num>
  <w:num w:numId="20">
    <w:abstractNumId w:val="34"/>
  </w:num>
  <w:num w:numId="21">
    <w:abstractNumId w:val="50"/>
  </w:num>
  <w:num w:numId="22">
    <w:abstractNumId w:val="54"/>
  </w:num>
  <w:num w:numId="23">
    <w:abstractNumId w:val="31"/>
  </w:num>
  <w:num w:numId="24">
    <w:abstractNumId w:val="19"/>
  </w:num>
  <w:num w:numId="25">
    <w:abstractNumId w:val="20"/>
  </w:num>
  <w:num w:numId="26">
    <w:abstractNumId w:val="8"/>
  </w:num>
  <w:num w:numId="27">
    <w:abstractNumId w:val="16"/>
  </w:num>
  <w:num w:numId="28">
    <w:abstractNumId w:val="26"/>
  </w:num>
  <w:num w:numId="29">
    <w:abstractNumId w:val="51"/>
  </w:num>
  <w:num w:numId="30">
    <w:abstractNumId w:val="41"/>
  </w:num>
  <w:num w:numId="31">
    <w:abstractNumId w:val="35"/>
  </w:num>
  <w:num w:numId="32">
    <w:abstractNumId w:val="18"/>
  </w:num>
  <w:num w:numId="33">
    <w:abstractNumId w:val="9"/>
  </w:num>
  <w:num w:numId="34">
    <w:abstractNumId w:val="40"/>
  </w:num>
  <w:num w:numId="35">
    <w:abstractNumId w:val="1"/>
  </w:num>
  <w:num w:numId="36">
    <w:abstractNumId w:val="45"/>
  </w:num>
  <w:num w:numId="37">
    <w:abstractNumId w:val="15"/>
  </w:num>
  <w:num w:numId="38">
    <w:abstractNumId w:val="21"/>
  </w:num>
  <w:num w:numId="39">
    <w:abstractNumId w:val="13"/>
  </w:num>
  <w:num w:numId="40">
    <w:abstractNumId w:val="49"/>
  </w:num>
  <w:num w:numId="41">
    <w:abstractNumId w:val="2"/>
  </w:num>
  <w:num w:numId="42">
    <w:abstractNumId w:val="12"/>
  </w:num>
  <w:num w:numId="43">
    <w:abstractNumId w:val="37"/>
  </w:num>
  <w:num w:numId="44">
    <w:abstractNumId w:val="14"/>
  </w:num>
  <w:num w:numId="45">
    <w:abstractNumId w:val="7"/>
  </w:num>
  <w:num w:numId="46">
    <w:abstractNumId w:val="46"/>
  </w:num>
  <w:num w:numId="47">
    <w:abstractNumId w:val="28"/>
  </w:num>
  <w:num w:numId="48">
    <w:abstractNumId w:val="44"/>
  </w:num>
  <w:num w:numId="49">
    <w:abstractNumId w:val="33"/>
  </w:num>
  <w:num w:numId="50">
    <w:abstractNumId w:val="3"/>
  </w:num>
  <w:num w:numId="51">
    <w:abstractNumId w:val="29"/>
  </w:num>
  <w:num w:numId="52">
    <w:abstractNumId w:val="27"/>
  </w:num>
  <w:num w:numId="53">
    <w:abstractNumId w:val="10"/>
  </w:num>
  <w:num w:numId="54">
    <w:abstractNumId w:val="36"/>
  </w:num>
  <w:num w:numId="55">
    <w:abstractNumId w:val="24"/>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6866"/>
    <o:shapelayout v:ext="edit">
      <o:idmap v:ext="edit" data="7"/>
    </o:shapelayout>
  </w:hdrShapeDefaults>
  <w:footnotePr>
    <w:footnote w:id="0"/>
    <w:footnote w:id="1"/>
  </w:footnotePr>
  <w:endnotePr>
    <w:endnote w:id="0"/>
    <w:endnote w:id="1"/>
  </w:endnotePr>
  <w:compat/>
  <w:rsids>
    <w:rsidRoot w:val="000E6975"/>
    <w:rsid w:val="0002021D"/>
    <w:rsid w:val="000230BF"/>
    <w:rsid w:val="00023197"/>
    <w:rsid w:val="000653EB"/>
    <w:rsid w:val="00074B82"/>
    <w:rsid w:val="00096018"/>
    <w:rsid w:val="00097E10"/>
    <w:rsid w:val="000C2A5A"/>
    <w:rsid w:val="000D27DC"/>
    <w:rsid w:val="000E17FB"/>
    <w:rsid w:val="000E6975"/>
    <w:rsid w:val="000F5BC8"/>
    <w:rsid w:val="001017A6"/>
    <w:rsid w:val="00104700"/>
    <w:rsid w:val="00123501"/>
    <w:rsid w:val="0014700A"/>
    <w:rsid w:val="00163D56"/>
    <w:rsid w:val="0016563C"/>
    <w:rsid w:val="0016580F"/>
    <w:rsid w:val="001A669F"/>
    <w:rsid w:val="001A7465"/>
    <w:rsid w:val="001C77E1"/>
    <w:rsid w:val="001D2E53"/>
    <w:rsid w:val="001F3E2D"/>
    <w:rsid w:val="001F4355"/>
    <w:rsid w:val="002026C6"/>
    <w:rsid w:val="002027E3"/>
    <w:rsid w:val="00211548"/>
    <w:rsid w:val="00211F6A"/>
    <w:rsid w:val="00214EF1"/>
    <w:rsid w:val="0022743D"/>
    <w:rsid w:val="002618BD"/>
    <w:rsid w:val="00285FBA"/>
    <w:rsid w:val="002A77FD"/>
    <w:rsid w:val="002B75CB"/>
    <w:rsid w:val="002E5FEE"/>
    <w:rsid w:val="002F5C10"/>
    <w:rsid w:val="00302291"/>
    <w:rsid w:val="00324412"/>
    <w:rsid w:val="0033144D"/>
    <w:rsid w:val="00387311"/>
    <w:rsid w:val="00387A40"/>
    <w:rsid w:val="003B1588"/>
    <w:rsid w:val="003B308C"/>
    <w:rsid w:val="003D759D"/>
    <w:rsid w:val="00401560"/>
    <w:rsid w:val="004040F5"/>
    <w:rsid w:val="00405B01"/>
    <w:rsid w:val="004100A0"/>
    <w:rsid w:val="00410708"/>
    <w:rsid w:val="0041108C"/>
    <w:rsid w:val="004318E5"/>
    <w:rsid w:val="0044648B"/>
    <w:rsid w:val="004618C9"/>
    <w:rsid w:val="00465C5E"/>
    <w:rsid w:val="00465CD1"/>
    <w:rsid w:val="00466E53"/>
    <w:rsid w:val="00474FD8"/>
    <w:rsid w:val="00476E83"/>
    <w:rsid w:val="00495363"/>
    <w:rsid w:val="004A1B89"/>
    <w:rsid w:val="004A6BE0"/>
    <w:rsid w:val="004B0857"/>
    <w:rsid w:val="004C1EE0"/>
    <w:rsid w:val="004E1E8A"/>
    <w:rsid w:val="004E71B7"/>
    <w:rsid w:val="004F17ED"/>
    <w:rsid w:val="004F1CA3"/>
    <w:rsid w:val="004F604B"/>
    <w:rsid w:val="00507B40"/>
    <w:rsid w:val="00511E43"/>
    <w:rsid w:val="00537711"/>
    <w:rsid w:val="00546C3C"/>
    <w:rsid w:val="00557E2B"/>
    <w:rsid w:val="0056175F"/>
    <w:rsid w:val="0056616A"/>
    <w:rsid w:val="00576D27"/>
    <w:rsid w:val="00577063"/>
    <w:rsid w:val="005C16D8"/>
    <w:rsid w:val="005C5752"/>
    <w:rsid w:val="005F5735"/>
    <w:rsid w:val="006048D0"/>
    <w:rsid w:val="00605905"/>
    <w:rsid w:val="00621428"/>
    <w:rsid w:val="00630006"/>
    <w:rsid w:val="00630491"/>
    <w:rsid w:val="00636539"/>
    <w:rsid w:val="00652062"/>
    <w:rsid w:val="00654D42"/>
    <w:rsid w:val="0066651F"/>
    <w:rsid w:val="00666558"/>
    <w:rsid w:val="00672874"/>
    <w:rsid w:val="00684AFA"/>
    <w:rsid w:val="006C36B9"/>
    <w:rsid w:val="006D5A0C"/>
    <w:rsid w:val="006E5B46"/>
    <w:rsid w:val="006E70CE"/>
    <w:rsid w:val="00731917"/>
    <w:rsid w:val="007573AA"/>
    <w:rsid w:val="00763B3E"/>
    <w:rsid w:val="0078269F"/>
    <w:rsid w:val="007947F9"/>
    <w:rsid w:val="007A75D2"/>
    <w:rsid w:val="007B229B"/>
    <w:rsid w:val="007C477D"/>
    <w:rsid w:val="007D02E9"/>
    <w:rsid w:val="007D2732"/>
    <w:rsid w:val="00802908"/>
    <w:rsid w:val="008136D0"/>
    <w:rsid w:val="008223B1"/>
    <w:rsid w:val="0084492F"/>
    <w:rsid w:val="00851164"/>
    <w:rsid w:val="00867F94"/>
    <w:rsid w:val="008810A0"/>
    <w:rsid w:val="00892462"/>
    <w:rsid w:val="00893C55"/>
    <w:rsid w:val="008B2078"/>
    <w:rsid w:val="008B5CAD"/>
    <w:rsid w:val="008C2EA3"/>
    <w:rsid w:val="008D68B5"/>
    <w:rsid w:val="00901D86"/>
    <w:rsid w:val="00902D24"/>
    <w:rsid w:val="00903035"/>
    <w:rsid w:val="009040A2"/>
    <w:rsid w:val="009078E8"/>
    <w:rsid w:val="009528D9"/>
    <w:rsid w:val="0096475E"/>
    <w:rsid w:val="0096595F"/>
    <w:rsid w:val="0097294A"/>
    <w:rsid w:val="009B0F0D"/>
    <w:rsid w:val="009C1FCA"/>
    <w:rsid w:val="009C70A5"/>
    <w:rsid w:val="009F333E"/>
    <w:rsid w:val="009F4DB0"/>
    <w:rsid w:val="00A17B70"/>
    <w:rsid w:val="00A20E92"/>
    <w:rsid w:val="00A24B71"/>
    <w:rsid w:val="00A24CD9"/>
    <w:rsid w:val="00A37DD1"/>
    <w:rsid w:val="00A46986"/>
    <w:rsid w:val="00A967CC"/>
    <w:rsid w:val="00A97F4B"/>
    <w:rsid w:val="00AB2FCC"/>
    <w:rsid w:val="00AC0819"/>
    <w:rsid w:val="00AC1D28"/>
    <w:rsid w:val="00AC6D23"/>
    <w:rsid w:val="00AC6D27"/>
    <w:rsid w:val="00AD438A"/>
    <w:rsid w:val="00AD7C97"/>
    <w:rsid w:val="00B03837"/>
    <w:rsid w:val="00B10A41"/>
    <w:rsid w:val="00B21CFD"/>
    <w:rsid w:val="00B24F0F"/>
    <w:rsid w:val="00B5123B"/>
    <w:rsid w:val="00B51F47"/>
    <w:rsid w:val="00B5385F"/>
    <w:rsid w:val="00B61DA5"/>
    <w:rsid w:val="00B77727"/>
    <w:rsid w:val="00B85EE7"/>
    <w:rsid w:val="00B96C4A"/>
    <w:rsid w:val="00BA23E5"/>
    <w:rsid w:val="00BB44DB"/>
    <w:rsid w:val="00BD3064"/>
    <w:rsid w:val="00BE67CE"/>
    <w:rsid w:val="00BE7B0A"/>
    <w:rsid w:val="00BF353D"/>
    <w:rsid w:val="00BF6A10"/>
    <w:rsid w:val="00C079BE"/>
    <w:rsid w:val="00C20B2B"/>
    <w:rsid w:val="00C24BDF"/>
    <w:rsid w:val="00C42EA8"/>
    <w:rsid w:val="00C42F7E"/>
    <w:rsid w:val="00C5154D"/>
    <w:rsid w:val="00C523F9"/>
    <w:rsid w:val="00C800B1"/>
    <w:rsid w:val="00CC34F4"/>
    <w:rsid w:val="00CD2566"/>
    <w:rsid w:val="00CE4FEF"/>
    <w:rsid w:val="00D03277"/>
    <w:rsid w:val="00D307DC"/>
    <w:rsid w:val="00D53AC8"/>
    <w:rsid w:val="00D55E1B"/>
    <w:rsid w:val="00D57B46"/>
    <w:rsid w:val="00D70ED4"/>
    <w:rsid w:val="00D80706"/>
    <w:rsid w:val="00D83658"/>
    <w:rsid w:val="00D92DE7"/>
    <w:rsid w:val="00DB31AA"/>
    <w:rsid w:val="00DC0931"/>
    <w:rsid w:val="00DC397F"/>
    <w:rsid w:val="00DC6DC3"/>
    <w:rsid w:val="00DF3124"/>
    <w:rsid w:val="00DF3AEE"/>
    <w:rsid w:val="00E03EE2"/>
    <w:rsid w:val="00E306A0"/>
    <w:rsid w:val="00E330AD"/>
    <w:rsid w:val="00E520B7"/>
    <w:rsid w:val="00E54CED"/>
    <w:rsid w:val="00E7078A"/>
    <w:rsid w:val="00E84D03"/>
    <w:rsid w:val="00E96C7A"/>
    <w:rsid w:val="00EA0A89"/>
    <w:rsid w:val="00EB3BD8"/>
    <w:rsid w:val="00ED3719"/>
    <w:rsid w:val="00ED4D99"/>
    <w:rsid w:val="00EE05FC"/>
    <w:rsid w:val="00EF4539"/>
    <w:rsid w:val="00F0507F"/>
    <w:rsid w:val="00F10111"/>
    <w:rsid w:val="00F173AF"/>
    <w:rsid w:val="00F36B89"/>
    <w:rsid w:val="00F55487"/>
    <w:rsid w:val="00F5741B"/>
    <w:rsid w:val="00F6085C"/>
    <w:rsid w:val="00F61A8D"/>
    <w:rsid w:val="00F6291B"/>
    <w:rsid w:val="00F6669A"/>
    <w:rsid w:val="00F9021D"/>
    <w:rsid w:val="00F97FA0"/>
    <w:rsid w:val="00FB7670"/>
    <w:rsid w:val="00FC2EBE"/>
    <w:rsid w:val="00FC3A8D"/>
    <w:rsid w:val="00FF00B3"/>
    <w:rsid w:val="00FF049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rules v:ext="edit">
        <o:r id="V:Rule27" type="connector" idref="#_x0000_s1037"/>
        <o:r id="V:Rule28" type="connector" idref="#_x0000_s1076"/>
        <o:r id="V:Rule29" type="connector" idref="#_x0000_s1031"/>
        <o:r id="V:Rule30" type="connector" idref="#_x0000_s1028"/>
        <o:r id="V:Rule31" type="connector" idref="#_x0000_s1038"/>
        <o:r id="V:Rule32" type="connector" idref="#_x0000_s1077"/>
        <o:r id="V:Rule33" type="connector" idref="#_x0000_s1032"/>
        <o:r id="V:Rule34" type="connector" idref="#_x0000_s1036"/>
        <o:r id="V:Rule35" type="connector" idref="#_x0000_s1045"/>
        <o:r id="V:Rule36" type="connector" idref="#_x0000_s1044"/>
        <o:r id="V:Rule37" type="connector" idref="#_x0000_s1035"/>
        <o:r id="V:Rule38" type="connector" idref="#_x0000_s1075"/>
        <o:r id="V:Rule39" type="connector" idref="#_x0000_s1048"/>
        <o:r id="V:Rule40" type="connector" idref="#_x0000_s1046"/>
        <o:r id="V:Rule41" type="connector" idref="#_x0000_s1039"/>
        <o:r id="V:Rule42" type="connector" idref="#_x0000_s1030"/>
        <o:r id="V:Rule43" type="connector" idref="#_x0000_s1033"/>
        <o:r id="V:Rule44" type="connector" idref="#_x0000_s1026"/>
        <o:r id="V:Rule45" type="connector" idref="#_x0000_s1027"/>
        <o:r id="V:Rule46" type="connector" idref="#_x0000_s1051"/>
        <o:r id="V:Rule47" type="connector" idref="#_x0000_s1034"/>
        <o:r id="V:Rule48" type="connector" idref="#_x0000_s1029"/>
        <o:r id="V:Rule49" type="connector" idref="#_x0000_s1047"/>
        <o:r id="V:Rule50" type="connector" idref="#_x0000_s1054"/>
        <o:r id="V:Rule51" type="connector" idref="#_x0000_s1053"/>
        <o:r id="V:Rule52"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558"/>
  </w:style>
  <w:style w:type="paragraph" w:styleId="Titre3">
    <w:name w:val="heading 3"/>
    <w:basedOn w:val="Normal"/>
    <w:next w:val="Normal"/>
    <w:link w:val="Titre3Car"/>
    <w:uiPriority w:val="9"/>
    <w:unhideWhenUsed/>
    <w:qFormat/>
    <w:rsid w:val="00AC1D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46C3C"/>
    <w:pPr>
      <w:ind w:left="720"/>
      <w:contextualSpacing/>
    </w:pPr>
  </w:style>
  <w:style w:type="paragraph" w:styleId="En-tte">
    <w:name w:val="header"/>
    <w:basedOn w:val="Normal"/>
    <w:link w:val="En-tteCar"/>
    <w:uiPriority w:val="99"/>
    <w:semiHidden/>
    <w:unhideWhenUsed/>
    <w:rsid w:val="00B61DA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61DA5"/>
  </w:style>
  <w:style w:type="paragraph" w:styleId="Pieddepage">
    <w:name w:val="footer"/>
    <w:basedOn w:val="Normal"/>
    <w:link w:val="PieddepageCar"/>
    <w:uiPriority w:val="99"/>
    <w:unhideWhenUsed/>
    <w:rsid w:val="00B61D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61DA5"/>
  </w:style>
  <w:style w:type="character" w:customStyle="1" w:styleId="Titre3Car">
    <w:name w:val="Titre 3 Car"/>
    <w:basedOn w:val="Policepardfaut"/>
    <w:link w:val="Titre3"/>
    <w:uiPriority w:val="9"/>
    <w:rsid w:val="00AC1D28"/>
    <w:rPr>
      <w:rFonts w:asciiTheme="majorHAnsi" w:eastAsiaTheme="majorEastAsia" w:hAnsiTheme="majorHAnsi" w:cstheme="majorBidi"/>
      <w:b/>
      <w:bCs/>
      <w:color w:val="4F81BD" w:themeColor="accent1"/>
    </w:rPr>
  </w:style>
  <w:style w:type="character" w:styleId="Textedelespacerserv">
    <w:name w:val="Placeholder Text"/>
    <w:basedOn w:val="Policepardfaut"/>
    <w:uiPriority w:val="99"/>
    <w:semiHidden/>
    <w:rsid w:val="00E7078A"/>
    <w:rPr>
      <w:color w:val="808080"/>
    </w:rPr>
  </w:style>
  <w:style w:type="paragraph" w:styleId="Textedebulles">
    <w:name w:val="Balloon Text"/>
    <w:basedOn w:val="Normal"/>
    <w:link w:val="TextedebullesCar"/>
    <w:uiPriority w:val="99"/>
    <w:semiHidden/>
    <w:unhideWhenUsed/>
    <w:rsid w:val="00E7078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7078A"/>
    <w:rPr>
      <w:rFonts w:ascii="Tahoma" w:hAnsi="Tahoma" w:cs="Tahoma"/>
      <w:sz w:val="16"/>
      <w:szCs w:val="16"/>
    </w:rPr>
  </w:style>
  <w:style w:type="table" w:styleId="Grilledutableau">
    <w:name w:val="Table Grid"/>
    <w:basedOn w:val="TableauNormal"/>
    <w:uiPriority w:val="59"/>
    <w:rsid w:val="00E306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ramemoyenne2-Accent2">
    <w:name w:val="Medium Shading 2 Accent 2"/>
    <w:basedOn w:val="TableauNormal"/>
    <w:uiPriority w:val="64"/>
    <w:rsid w:val="000F5B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tedebasdepage">
    <w:name w:val="footnote text"/>
    <w:basedOn w:val="Normal"/>
    <w:link w:val="NotedebasdepageCar"/>
    <w:uiPriority w:val="99"/>
    <w:unhideWhenUsed/>
    <w:rsid w:val="00466E53"/>
    <w:pPr>
      <w:spacing w:after="0" w:line="240" w:lineRule="auto"/>
    </w:pPr>
    <w:rPr>
      <w:sz w:val="20"/>
      <w:szCs w:val="20"/>
    </w:rPr>
  </w:style>
  <w:style w:type="character" w:customStyle="1" w:styleId="NotedebasdepageCar">
    <w:name w:val="Note de bas de page Car"/>
    <w:basedOn w:val="Policepardfaut"/>
    <w:link w:val="Notedebasdepage"/>
    <w:uiPriority w:val="99"/>
    <w:rsid w:val="00466E53"/>
    <w:rPr>
      <w:sz w:val="20"/>
      <w:szCs w:val="20"/>
    </w:rPr>
  </w:style>
  <w:style w:type="character" w:styleId="Appelnotedebasdep">
    <w:name w:val="footnote reference"/>
    <w:basedOn w:val="Policepardfaut"/>
    <w:uiPriority w:val="99"/>
    <w:semiHidden/>
    <w:unhideWhenUsed/>
    <w:rsid w:val="00466E53"/>
    <w:rPr>
      <w:vertAlign w:val="superscript"/>
    </w:rPr>
  </w:style>
  <w:style w:type="paragraph" w:styleId="Titre">
    <w:name w:val="Title"/>
    <w:basedOn w:val="Normal"/>
    <w:link w:val="TitreCar"/>
    <w:qFormat/>
    <w:rsid w:val="00B85EE7"/>
    <w:pPr>
      <w:spacing w:after="0" w:line="240" w:lineRule="auto"/>
      <w:jc w:val="center"/>
    </w:pPr>
    <w:rPr>
      <w:rFonts w:ascii="Tahoma" w:eastAsia="Times New Roman" w:hAnsi="Tahoma" w:cs="Tahoma"/>
      <w:b/>
      <w:bCs/>
      <w:sz w:val="28"/>
      <w:szCs w:val="28"/>
    </w:rPr>
  </w:style>
  <w:style w:type="character" w:customStyle="1" w:styleId="TitreCar">
    <w:name w:val="Titre Car"/>
    <w:basedOn w:val="Policepardfaut"/>
    <w:link w:val="Titre"/>
    <w:rsid w:val="00B85EE7"/>
    <w:rPr>
      <w:rFonts w:ascii="Tahoma" w:eastAsia="Times New Roman" w:hAnsi="Tahoma" w:cs="Tahoma"/>
      <w:b/>
      <w:b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Layout" Target="diagrams/layou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Colors" Target="diagrams/colors2.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QuickStyle" Target="diagrams/quickStyle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E0396A-E948-407F-80B0-2779C2EE3398}" type="doc">
      <dgm:prSet loTypeId="urn:microsoft.com/office/officeart/2005/8/layout/chevron2" loCatId="list" qsTypeId="urn:microsoft.com/office/officeart/2005/8/quickstyle/simple1" qsCatId="simple" csTypeId="urn:microsoft.com/office/officeart/2005/8/colors/colorful5" csCatId="colorful" phldr="1"/>
      <dgm:spPr/>
      <dgm:t>
        <a:bodyPr/>
        <a:lstStyle/>
        <a:p>
          <a:endParaRPr lang="fr-FR"/>
        </a:p>
      </dgm:t>
    </dgm:pt>
    <dgm:pt modelId="{4F4AB82E-5A71-4C63-9691-3F54007BF8F4}">
      <dgm:prSet phldrT="[Texte]"/>
      <dgm:spPr/>
      <dgm:t>
        <a:bodyPr/>
        <a:lstStyle/>
        <a:p>
          <a:r>
            <a:rPr lang="fr-FR"/>
            <a:t>objectifs</a:t>
          </a:r>
        </a:p>
        <a:p>
          <a:r>
            <a:rPr lang="fr-FR"/>
            <a:t>macroéconomiques</a:t>
          </a:r>
        </a:p>
      </dgm:t>
    </dgm:pt>
    <dgm:pt modelId="{AC3268A7-B7E9-43F1-9A0C-887488B976D3}" type="parTrans" cxnId="{E653AD8B-8520-4FF9-9097-9E03ADDC9BF6}">
      <dgm:prSet/>
      <dgm:spPr/>
      <dgm:t>
        <a:bodyPr/>
        <a:lstStyle/>
        <a:p>
          <a:endParaRPr lang="fr-FR"/>
        </a:p>
      </dgm:t>
    </dgm:pt>
    <dgm:pt modelId="{3F2EBA33-46B2-4FD2-A41D-EAF63D63CA80}" type="sibTrans" cxnId="{E653AD8B-8520-4FF9-9097-9E03ADDC9BF6}">
      <dgm:prSet/>
      <dgm:spPr/>
      <dgm:t>
        <a:bodyPr/>
        <a:lstStyle/>
        <a:p>
          <a:endParaRPr lang="fr-FR"/>
        </a:p>
      </dgm:t>
    </dgm:pt>
    <dgm:pt modelId="{17F509F0-BE2D-4220-8413-ED2CF7ECAEEF}">
      <dgm:prSet phldrT="[Texte]"/>
      <dgm:spPr/>
      <dgm:t>
        <a:bodyPr/>
        <a:lstStyle/>
        <a:p>
          <a:r>
            <a:rPr lang="fr-FR"/>
            <a:t>croissance = 6%.</a:t>
          </a:r>
        </a:p>
      </dgm:t>
    </dgm:pt>
    <dgm:pt modelId="{7F8A40D7-8271-4AFC-B445-975D0350319F}" type="parTrans" cxnId="{78094A1F-97AE-4AE1-8C98-518B15A61503}">
      <dgm:prSet/>
      <dgm:spPr/>
      <dgm:t>
        <a:bodyPr/>
        <a:lstStyle/>
        <a:p>
          <a:endParaRPr lang="fr-FR"/>
        </a:p>
      </dgm:t>
    </dgm:pt>
    <dgm:pt modelId="{64F336CB-E6EF-4260-8644-5553AA9C7452}" type="sibTrans" cxnId="{78094A1F-97AE-4AE1-8C98-518B15A61503}">
      <dgm:prSet/>
      <dgm:spPr/>
      <dgm:t>
        <a:bodyPr/>
        <a:lstStyle/>
        <a:p>
          <a:endParaRPr lang="fr-FR"/>
        </a:p>
      </dgm:t>
    </dgm:pt>
    <dgm:pt modelId="{C6170652-F967-4DB8-8D62-2C77E819655E}">
      <dgm:prSet phldrT="[Texte]"/>
      <dgm:spPr/>
      <dgm:t>
        <a:bodyPr/>
        <a:lstStyle/>
        <a:p>
          <a:r>
            <a:rPr lang="fr-FR"/>
            <a:t>équilibre externe (balance de paiement).</a:t>
          </a:r>
        </a:p>
      </dgm:t>
    </dgm:pt>
    <dgm:pt modelId="{1A256FB2-D648-4EBA-985E-1F202D53C934}" type="parTrans" cxnId="{7E0353F5-F6D5-4114-8E1F-DCBC519A81F7}">
      <dgm:prSet/>
      <dgm:spPr/>
      <dgm:t>
        <a:bodyPr/>
        <a:lstStyle/>
        <a:p>
          <a:endParaRPr lang="fr-FR"/>
        </a:p>
      </dgm:t>
    </dgm:pt>
    <dgm:pt modelId="{C7173A9D-EF84-4563-A62F-61B804D30546}" type="sibTrans" cxnId="{7E0353F5-F6D5-4114-8E1F-DCBC519A81F7}">
      <dgm:prSet/>
      <dgm:spPr/>
      <dgm:t>
        <a:bodyPr/>
        <a:lstStyle/>
        <a:p>
          <a:endParaRPr lang="fr-FR"/>
        </a:p>
      </dgm:t>
    </dgm:pt>
    <dgm:pt modelId="{5C079E8F-ED68-4DF2-8F18-50B032091257}">
      <dgm:prSet phldrT="[Texte]"/>
      <dgm:spPr/>
      <dgm:t>
        <a:bodyPr/>
        <a:lstStyle/>
        <a:p>
          <a:r>
            <a:rPr lang="fr-FR"/>
            <a:t>objectifs intermédiaire </a:t>
          </a:r>
        </a:p>
      </dgm:t>
    </dgm:pt>
    <dgm:pt modelId="{229A1AF0-02F0-4D4F-8472-D6F763CB6A1E}" type="parTrans" cxnId="{EE59BCBF-CA6F-4A1A-9584-0352F82C4760}">
      <dgm:prSet/>
      <dgm:spPr/>
      <dgm:t>
        <a:bodyPr/>
        <a:lstStyle/>
        <a:p>
          <a:endParaRPr lang="fr-FR"/>
        </a:p>
      </dgm:t>
    </dgm:pt>
    <dgm:pt modelId="{5AE187E6-6FBF-441B-9830-5D95C013193E}" type="sibTrans" cxnId="{EE59BCBF-CA6F-4A1A-9584-0352F82C4760}">
      <dgm:prSet/>
      <dgm:spPr/>
      <dgm:t>
        <a:bodyPr/>
        <a:lstStyle/>
        <a:p>
          <a:endParaRPr lang="fr-FR"/>
        </a:p>
      </dgm:t>
    </dgm:pt>
    <dgm:pt modelId="{F7EBEFAF-4C01-49E0-86D4-910F72DBFEA5}">
      <dgm:prSet phldrT="[Texte]"/>
      <dgm:spPr/>
      <dgm:t>
        <a:bodyPr/>
        <a:lstStyle/>
        <a:p>
          <a:r>
            <a:rPr lang="fr-FR"/>
            <a:t>les agrégats M1, ou M2, ou M3.</a:t>
          </a:r>
        </a:p>
      </dgm:t>
    </dgm:pt>
    <dgm:pt modelId="{723CD367-511D-4607-9A01-0E2618CBD8D8}" type="parTrans" cxnId="{E4885830-AB43-4EE2-ACB7-115D4AFA3947}">
      <dgm:prSet/>
      <dgm:spPr/>
      <dgm:t>
        <a:bodyPr/>
        <a:lstStyle/>
        <a:p>
          <a:endParaRPr lang="fr-FR"/>
        </a:p>
      </dgm:t>
    </dgm:pt>
    <dgm:pt modelId="{CCBA7D35-C010-497C-B6C3-BDE200D979C4}" type="sibTrans" cxnId="{E4885830-AB43-4EE2-ACB7-115D4AFA3947}">
      <dgm:prSet/>
      <dgm:spPr/>
      <dgm:t>
        <a:bodyPr/>
        <a:lstStyle/>
        <a:p>
          <a:endParaRPr lang="fr-FR"/>
        </a:p>
      </dgm:t>
    </dgm:pt>
    <dgm:pt modelId="{538D77F2-DF68-476A-A781-236F1AD75B46}">
      <dgm:prSet phldrT="[Texte]"/>
      <dgm:spPr/>
      <dgm:t>
        <a:bodyPr/>
        <a:lstStyle/>
        <a:p>
          <a:r>
            <a:rPr lang="fr-FR"/>
            <a:t>les taux de change (valeur de la monnaie national par rapport aux devises, politique de change).</a:t>
          </a:r>
        </a:p>
      </dgm:t>
    </dgm:pt>
    <dgm:pt modelId="{49AD7A8F-BE19-48FB-956A-7705C4390E66}" type="parTrans" cxnId="{31A347DB-E1D9-41E4-A98B-357F62E319ED}">
      <dgm:prSet/>
      <dgm:spPr/>
      <dgm:t>
        <a:bodyPr/>
        <a:lstStyle/>
        <a:p>
          <a:endParaRPr lang="fr-FR"/>
        </a:p>
      </dgm:t>
    </dgm:pt>
    <dgm:pt modelId="{99503D33-889B-4DDF-B3B2-A861EE989286}" type="sibTrans" cxnId="{31A347DB-E1D9-41E4-A98B-357F62E319ED}">
      <dgm:prSet/>
      <dgm:spPr/>
      <dgm:t>
        <a:bodyPr/>
        <a:lstStyle/>
        <a:p>
          <a:endParaRPr lang="fr-FR"/>
        </a:p>
      </dgm:t>
    </dgm:pt>
    <dgm:pt modelId="{ABDF3637-2607-46BA-8DA8-D4E9644436E8}">
      <dgm:prSet phldrT="[Texte]"/>
      <dgm:spPr/>
      <dgm:t>
        <a:bodyPr/>
        <a:lstStyle/>
        <a:p>
          <a:r>
            <a:rPr lang="fr-FR"/>
            <a:t>objectifs opérationnels</a:t>
          </a:r>
        </a:p>
      </dgm:t>
    </dgm:pt>
    <dgm:pt modelId="{9058BCFE-7235-49E2-A7F8-8893B05CF7F3}" type="parTrans" cxnId="{89017DC4-DA8D-48A3-8FC5-2C96FC6681D3}">
      <dgm:prSet/>
      <dgm:spPr/>
      <dgm:t>
        <a:bodyPr/>
        <a:lstStyle/>
        <a:p>
          <a:endParaRPr lang="fr-FR"/>
        </a:p>
      </dgm:t>
    </dgm:pt>
    <dgm:pt modelId="{F5F2420D-1156-4965-AE77-7E4350F5872B}" type="sibTrans" cxnId="{89017DC4-DA8D-48A3-8FC5-2C96FC6681D3}">
      <dgm:prSet/>
      <dgm:spPr/>
      <dgm:t>
        <a:bodyPr/>
        <a:lstStyle/>
        <a:p>
          <a:endParaRPr lang="fr-FR"/>
        </a:p>
      </dgm:t>
    </dgm:pt>
    <dgm:pt modelId="{C09FEEA4-F422-4D47-9A45-178140CF9258}">
      <dgm:prSet phldrT="[Texte]"/>
      <dgm:spPr/>
      <dgm:t>
        <a:bodyPr/>
        <a:lstStyle/>
        <a:p>
          <a:r>
            <a:rPr lang="fr-FR"/>
            <a:t>la liquidité.</a:t>
          </a:r>
        </a:p>
      </dgm:t>
    </dgm:pt>
    <dgm:pt modelId="{16244F29-9A0F-44E2-BACA-1D6CF03A7552}" type="parTrans" cxnId="{639EB9B0-3FC9-4D86-A11B-383AACB574D6}">
      <dgm:prSet/>
      <dgm:spPr/>
      <dgm:t>
        <a:bodyPr/>
        <a:lstStyle/>
        <a:p>
          <a:endParaRPr lang="fr-FR"/>
        </a:p>
      </dgm:t>
    </dgm:pt>
    <dgm:pt modelId="{F8AC07C6-966A-4069-A2EB-A90B4546F668}" type="sibTrans" cxnId="{639EB9B0-3FC9-4D86-A11B-383AACB574D6}">
      <dgm:prSet/>
      <dgm:spPr/>
      <dgm:t>
        <a:bodyPr/>
        <a:lstStyle/>
        <a:p>
          <a:endParaRPr lang="fr-FR"/>
        </a:p>
      </dgm:t>
    </dgm:pt>
    <dgm:pt modelId="{12135917-B77E-4BF8-9B45-A1968DAAF63A}">
      <dgm:prSet phldrT="[Texte]"/>
      <dgm:spPr/>
      <dgm:t>
        <a:bodyPr/>
        <a:lstStyle/>
        <a:p>
          <a:r>
            <a:rPr lang="fr-FR"/>
            <a:t>le taux de refinancement.</a:t>
          </a:r>
        </a:p>
      </dgm:t>
    </dgm:pt>
    <dgm:pt modelId="{CD473651-4A12-461D-9A4A-67A5651302CE}" type="parTrans" cxnId="{D06FA51A-A1F6-4659-9513-D3EDBE6A21C1}">
      <dgm:prSet/>
      <dgm:spPr/>
      <dgm:t>
        <a:bodyPr/>
        <a:lstStyle/>
        <a:p>
          <a:endParaRPr lang="fr-FR"/>
        </a:p>
      </dgm:t>
    </dgm:pt>
    <dgm:pt modelId="{0C2742BB-F151-4937-A572-37E069896C20}" type="sibTrans" cxnId="{D06FA51A-A1F6-4659-9513-D3EDBE6A21C1}">
      <dgm:prSet/>
      <dgm:spPr/>
      <dgm:t>
        <a:bodyPr/>
        <a:lstStyle/>
        <a:p>
          <a:endParaRPr lang="fr-FR"/>
        </a:p>
      </dgm:t>
    </dgm:pt>
    <dgm:pt modelId="{F5620D6D-E2C9-4777-828C-545E82243AA1}">
      <dgm:prSet phldrT="[Texte]"/>
      <dgm:spPr/>
      <dgm:t>
        <a:bodyPr/>
        <a:lstStyle/>
        <a:p>
          <a:r>
            <a:rPr lang="fr-FR"/>
            <a:t>emploi = chomage &lt; 10%.</a:t>
          </a:r>
        </a:p>
      </dgm:t>
    </dgm:pt>
    <dgm:pt modelId="{75771CC1-3C12-46EA-A4E3-90FF02D8EEA7}" type="parTrans" cxnId="{F14F2FD5-3F6E-4562-8838-29EB0C6FE118}">
      <dgm:prSet/>
      <dgm:spPr/>
      <dgm:t>
        <a:bodyPr/>
        <a:lstStyle/>
        <a:p>
          <a:endParaRPr lang="fr-FR"/>
        </a:p>
      </dgm:t>
    </dgm:pt>
    <dgm:pt modelId="{A0FFDFB1-2C9D-4237-AAC2-0174F51B10B2}" type="sibTrans" cxnId="{F14F2FD5-3F6E-4562-8838-29EB0C6FE118}">
      <dgm:prSet/>
      <dgm:spPr/>
      <dgm:t>
        <a:bodyPr/>
        <a:lstStyle/>
        <a:p>
          <a:endParaRPr lang="fr-FR"/>
        </a:p>
      </dgm:t>
    </dgm:pt>
    <dgm:pt modelId="{B01727D7-A3C6-4568-9321-4A6F64D0E293}">
      <dgm:prSet phldrT="[Texte]"/>
      <dgm:spPr/>
      <dgm:t>
        <a:bodyPr/>
        <a:lstStyle/>
        <a:p>
          <a:r>
            <a:rPr lang="fr-FR"/>
            <a:t>inflation &lt; 3%.</a:t>
          </a:r>
        </a:p>
      </dgm:t>
    </dgm:pt>
    <dgm:pt modelId="{A522B3B1-E0C4-427C-8112-3E7FF638ECE6}" type="parTrans" cxnId="{0431EA97-62A0-4F7A-BB13-F6E502902BBE}">
      <dgm:prSet/>
      <dgm:spPr/>
      <dgm:t>
        <a:bodyPr/>
        <a:lstStyle/>
        <a:p>
          <a:endParaRPr lang="fr-FR"/>
        </a:p>
      </dgm:t>
    </dgm:pt>
    <dgm:pt modelId="{29416300-1AA2-41A7-89DA-EBE5409BAC16}" type="sibTrans" cxnId="{0431EA97-62A0-4F7A-BB13-F6E502902BBE}">
      <dgm:prSet/>
      <dgm:spPr/>
      <dgm:t>
        <a:bodyPr/>
        <a:lstStyle/>
        <a:p>
          <a:endParaRPr lang="fr-FR"/>
        </a:p>
      </dgm:t>
    </dgm:pt>
    <dgm:pt modelId="{ECC22850-91BC-4025-89E9-EC83FF039C35}">
      <dgm:prSet phldrT="[Texte]"/>
      <dgm:spPr/>
      <dgm:t>
        <a:bodyPr/>
        <a:lstStyle/>
        <a:p>
          <a:r>
            <a:rPr lang="fr-FR"/>
            <a:t>les taux d'intérêt.</a:t>
          </a:r>
        </a:p>
      </dgm:t>
    </dgm:pt>
    <dgm:pt modelId="{A2D4CAE3-26AE-4968-90D3-513198D869EC}" type="parTrans" cxnId="{C087D663-4B62-47E7-9ED4-16E07AE8E62B}">
      <dgm:prSet/>
      <dgm:spPr/>
      <dgm:t>
        <a:bodyPr/>
        <a:lstStyle/>
        <a:p>
          <a:endParaRPr lang="fr-FR"/>
        </a:p>
      </dgm:t>
    </dgm:pt>
    <dgm:pt modelId="{BC716B1F-5F6C-47E3-AA28-C2E47BB43F32}" type="sibTrans" cxnId="{C087D663-4B62-47E7-9ED4-16E07AE8E62B}">
      <dgm:prSet/>
      <dgm:spPr/>
      <dgm:t>
        <a:bodyPr/>
        <a:lstStyle/>
        <a:p>
          <a:endParaRPr lang="fr-FR"/>
        </a:p>
      </dgm:t>
    </dgm:pt>
    <dgm:pt modelId="{93EB2BCE-2AD8-4FAC-8366-1F059865F3C1}">
      <dgm:prSet phldrT="[Texte]"/>
      <dgm:spPr/>
      <dgm:t>
        <a:bodyPr/>
        <a:lstStyle/>
        <a:p>
          <a:endParaRPr lang="fr-FR"/>
        </a:p>
      </dgm:t>
    </dgm:pt>
    <dgm:pt modelId="{DAB799EC-7C01-4612-94AF-4B34E7FD5FDB}" type="parTrans" cxnId="{BDA1FA8D-D137-4ED7-91CD-6D1287793803}">
      <dgm:prSet/>
      <dgm:spPr/>
      <dgm:t>
        <a:bodyPr/>
        <a:lstStyle/>
        <a:p>
          <a:endParaRPr lang="fr-FR"/>
        </a:p>
      </dgm:t>
    </dgm:pt>
    <dgm:pt modelId="{EE64041D-E5E3-467A-8C44-3D599C2053FF}" type="sibTrans" cxnId="{BDA1FA8D-D137-4ED7-91CD-6D1287793803}">
      <dgm:prSet/>
      <dgm:spPr/>
      <dgm:t>
        <a:bodyPr/>
        <a:lstStyle/>
        <a:p>
          <a:endParaRPr lang="fr-FR"/>
        </a:p>
      </dgm:t>
    </dgm:pt>
    <dgm:pt modelId="{A805FF72-ABBB-4B60-A3CF-BA478544FE2F}" type="pres">
      <dgm:prSet presAssocID="{6EE0396A-E948-407F-80B0-2779C2EE3398}" presName="linearFlow" presStyleCnt="0">
        <dgm:presLayoutVars>
          <dgm:dir/>
          <dgm:animLvl val="lvl"/>
          <dgm:resizeHandles val="exact"/>
        </dgm:presLayoutVars>
      </dgm:prSet>
      <dgm:spPr/>
      <dgm:t>
        <a:bodyPr/>
        <a:lstStyle/>
        <a:p>
          <a:endParaRPr lang="fr-FR"/>
        </a:p>
      </dgm:t>
    </dgm:pt>
    <dgm:pt modelId="{ED844EBD-9E11-4AFF-BB6A-BB24EDA7891A}" type="pres">
      <dgm:prSet presAssocID="{4F4AB82E-5A71-4C63-9691-3F54007BF8F4}" presName="composite" presStyleCnt="0"/>
      <dgm:spPr/>
    </dgm:pt>
    <dgm:pt modelId="{769F8A59-1906-4E55-911C-CF9338A86448}" type="pres">
      <dgm:prSet presAssocID="{4F4AB82E-5A71-4C63-9691-3F54007BF8F4}" presName="parentText" presStyleLbl="alignNode1" presStyleIdx="0" presStyleCnt="3">
        <dgm:presLayoutVars>
          <dgm:chMax val="1"/>
          <dgm:bulletEnabled val="1"/>
        </dgm:presLayoutVars>
      </dgm:prSet>
      <dgm:spPr/>
      <dgm:t>
        <a:bodyPr/>
        <a:lstStyle/>
        <a:p>
          <a:endParaRPr lang="fr-FR"/>
        </a:p>
      </dgm:t>
    </dgm:pt>
    <dgm:pt modelId="{1712D646-71BD-4FCE-AA55-54B896891E35}" type="pres">
      <dgm:prSet presAssocID="{4F4AB82E-5A71-4C63-9691-3F54007BF8F4}" presName="descendantText" presStyleLbl="alignAcc1" presStyleIdx="0" presStyleCnt="3">
        <dgm:presLayoutVars>
          <dgm:bulletEnabled val="1"/>
        </dgm:presLayoutVars>
      </dgm:prSet>
      <dgm:spPr/>
      <dgm:t>
        <a:bodyPr/>
        <a:lstStyle/>
        <a:p>
          <a:endParaRPr lang="fr-FR"/>
        </a:p>
      </dgm:t>
    </dgm:pt>
    <dgm:pt modelId="{A7065624-313D-4290-84AA-973CAF515E34}" type="pres">
      <dgm:prSet presAssocID="{3F2EBA33-46B2-4FD2-A41D-EAF63D63CA80}" presName="sp" presStyleCnt="0"/>
      <dgm:spPr/>
    </dgm:pt>
    <dgm:pt modelId="{1FFFB3FE-FD5C-46BA-89C9-C213FEFDAD97}" type="pres">
      <dgm:prSet presAssocID="{5C079E8F-ED68-4DF2-8F18-50B032091257}" presName="composite" presStyleCnt="0"/>
      <dgm:spPr/>
    </dgm:pt>
    <dgm:pt modelId="{7A095B66-BE79-47AA-86A8-8AC3382B1D34}" type="pres">
      <dgm:prSet presAssocID="{5C079E8F-ED68-4DF2-8F18-50B032091257}" presName="parentText" presStyleLbl="alignNode1" presStyleIdx="1" presStyleCnt="3">
        <dgm:presLayoutVars>
          <dgm:chMax val="1"/>
          <dgm:bulletEnabled val="1"/>
        </dgm:presLayoutVars>
      </dgm:prSet>
      <dgm:spPr/>
      <dgm:t>
        <a:bodyPr/>
        <a:lstStyle/>
        <a:p>
          <a:endParaRPr lang="fr-FR"/>
        </a:p>
      </dgm:t>
    </dgm:pt>
    <dgm:pt modelId="{924DADFA-5AF9-4D66-815A-C26F309A6523}" type="pres">
      <dgm:prSet presAssocID="{5C079E8F-ED68-4DF2-8F18-50B032091257}" presName="descendantText" presStyleLbl="alignAcc1" presStyleIdx="1" presStyleCnt="3">
        <dgm:presLayoutVars>
          <dgm:bulletEnabled val="1"/>
        </dgm:presLayoutVars>
      </dgm:prSet>
      <dgm:spPr/>
      <dgm:t>
        <a:bodyPr/>
        <a:lstStyle/>
        <a:p>
          <a:endParaRPr lang="fr-FR"/>
        </a:p>
      </dgm:t>
    </dgm:pt>
    <dgm:pt modelId="{B79F7238-3758-4870-8E06-94E20ED9A5E5}" type="pres">
      <dgm:prSet presAssocID="{5AE187E6-6FBF-441B-9830-5D95C013193E}" presName="sp" presStyleCnt="0"/>
      <dgm:spPr/>
    </dgm:pt>
    <dgm:pt modelId="{06198157-0D3D-4481-BA01-7A17B209B506}" type="pres">
      <dgm:prSet presAssocID="{ABDF3637-2607-46BA-8DA8-D4E9644436E8}" presName="composite" presStyleCnt="0"/>
      <dgm:spPr/>
    </dgm:pt>
    <dgm:pt modelId="{958FC313-302A-4268-8D85-A554A5F1E2C5}" type="pres">
      <dgm:prSet presAssocID="{ABDF3637-2607-46BA-8DA8-D4E9644436E8}" presName="parentText" presStyleLbl="alignNode1" presStyleIdx="2" presStyleCnt="3">
        <dgm:presLayoutVars>
          <dgm:chMax val="1"/>
          <dgm:bulletEnabled val="1"/>
        </dgm:presLayoutVars>
      </dgm:prSet>
      <dgm:spPr/>
      <dgm:t>
        <a:bodyPr/>
        <a:lstStyle/>
        <a:p>
          <a:endParaRPr lang="fr-FR"/>
        </a:p>
      </dgm:t>
    </dgm:pt>
    <dgm:pt modelId="{1DE031CC-32E3-4ACD-8613-D741A18ACC36}" type="pres">
      <dgm:prSet presAssocID="{ABDF3637-2607-46BA-8DA8-D4E9644436E8}" presName="descendantText" presStyleLbl="alignAcc1" presStyleIdx="2" presStyleCnt="3">
        <dgm:presLayoutVars>
          <dgm:bulletEnabled val="1"/>
        </dgm:presLayoutVars>
      </dgm:prSet>
      <dgm:spPr/>
      <dgm:t>
        <a:bodyPr/>
        <a:lstStyle/>
        <a:p>
          <a:endParaRPr lang="fr-FR"/>
        </a:p>
      </dgm:t>
    </dgm:pt>
  </dgm:ptLst>
  <dgm:cxnLst>
    <dgm:cxn modelId="{594187C9-67A6-4EDE-8F30-254C92640F9A}" type="presOf" srcId="{6EE0396A-E948-407F-80B0-2779C2EE3398}" destId="{A805FF72-ABBB-4B60-A3CF-BA478544FE2F}" srcOrd="0" destOrd="0" presId="urn:microsoft.com/office/officeart/2005/8/layout/chevron2"/>
    <dgm:cxn modelId="{89017DC4-DA8D-48A3-8FC5-2C96FC6681D3}" srcId="{6EE0396A-E948-407F-80B0-2779C2EE3398}" destId="{ABDF3637-2607-46BA-8DA8-D4E9644436E8}" srcOrd="2" destOrd="0" parTransId="{9058BCFE-7235-49E2-A7F8-8893B05CF7F3}" sibTransId="{F5F2420D-1156-4965-AE77-7E4350F5872B}"/>
    <dgm:cxn modelId="{FD189302-DA64-42E1-B880-1C4AE3AC3FFE}" type="presOf" srcId="{C09FEEA4-F422-4D47-9A45-178140CF9258}" destId="{1DE031CC-32E3-4ACD-8613-D741A18ACC36}" srcOrd="0" destOrd="0" presId="urn:microsoft.com/office/officeart/2005/8/layout/chevron2"/>
    <dgm:cxn modelId="{CDE7DA18-4561-48E6-8FA4-8AF27AD241FD}" type="presOf" srcId="{ABDF3637-2607-46BA-8DA8-D4E9644436E8}" destId="{958FC313-302A-4268-8D85-A554A5F1E2C5}" srcOrd="0" destOrd="0" presId="urn:microsoft.com/office/officeart/2005/8/layout/chevron2"/>
    <dgm:cxn modelId="{FE7ECE6B-3722-49BF-88AC-54D0CA47ED39}" type="presOf" srcId="{F7EBEFAF-4C01-49E0-86D4-910F72DBFEA5}" destId="{924DADFA-5AF9-4D66-815A-C26F309A6523}" srcOrd="0" destOrd="0" presId="urn:microsoft.com/office/officeart/2005/8/layout/chevron2"/>
    <dgm:cxn modelId="{E4885830-AB43-4EE2-ACB7-115D4AFA3947}" srcId="{5C079E8F-ED68-4DF2-8F18-50B032091257}" destId="{F7EBEFAF-4C01-49E0-86D4-910F72DBFEA5}" srcOrd="0" destOrd="0" parTransId="{723CD367-511D-4607-9A01-0E2618CBD8D8}" sibTransId="{CCBA7D35-C010-497C-B6C3-BDE200D979C4}"/>
    <dgm:cxn modelId="{31A347DB-E1D9-41E4-A98B-357F62E319ED}" srcId="{5C079E8F-ED68-4DF2-8F18-50B032091257}" destId="{538D77F2-DF68-476A-A781-236F1AD75B46}" srcOrd="2" destOrd="0" parTransId="{49AD7A8F-BE19-48FB-956A-7705C4390E66}" sibTransId="{99503D33-889B-4DDF-B3B2-A861EE989286}"/>
    <dgm:cxn modelId="{60D6D45D-0BBE-4AEF-96B0-124BB09DB37F}" type="presOf" srcId="{17F509F0-BE2D-4220-8413-ED2CF7ECAEEF}" destId="{1712D646-71BD-4FCE-AA55-54B896891E35}" srcOrd="0" destOrd="0" presId="urn:microsoft.com/office/officeart/2005/8/layout/chevron2"/>
    <dgm:cxn modelId="{F14F2FD5-3F6E-4562-8838-29EB0C6FE118}" srcId="{4F4AB82E-5A71-4C63-9691-3F54007BF8F4}" destId="{F5620D6D-E2C9-4777-828C-545E82243AA1}" srcOrd="1" destOrd="0" parTransId="{75771CC1-3C12-46EA-A4E3-90FF02D8EEA7}" sibTransId="{A0FFDFB1-2C9D-4237-AAC2-0174F51B10B2}"/>
    <dgm:cxn modelId="{639EB9B0-3FC9-4D86-A11B-383AACB574D6}" srcId="{ABDF3637-2607-46BA-8DA8-D4E9644436E8}" destId="{C09FEEA4-F422-4D47-9A45-178140CF9258}" srcOrd="0" destOrd="0" parTransId="{16244F29-9A0F-44E2-BACA-1D6CF03A7552}" sibTransId="{F8AC07C6-966A-4069-A2EB-A90B4546F668}"/>
    <dgm:cxn modelId="{4714C739-7758-4DFD-85F4-983F8C83524D}" type="presOf" srcId="{12135917-B77E-4BF8-9B45-A1968DAAF63A}" destId="{1DE031CC-32E3-4ACD-8613-D741A18ACC36}" srcOrd="0" destOrd="1" presId="urn:microsoft.com/office/officeart/2005/8/layout/chevron2"/>
    <dgm:cxn modelId="{EE59BCBF-CA6F-4A1A-9584-0352F82C4760}" srcId="{6EE0396A-E948-407F-80B0-2779C2EE3398}" destId="{5C079E8F-ED68-4DF2-8F18-50B032091257}" srcOrd="1" destOrd="0" parTransId="{229A1AF0-02F0-4D4F-8472-D6F763CB6A1E}" sibTransId="{5AE187E6-6FBF-441B-9830-5D95C013193E}"/>
    <dgm:cxn modelId="{E1601E84-2108-448F-86BE-E610EBFF5C37}" type="presOf" srcId="{B01727D7-A3C6-4568-9321-4A6F64D0E293}" destId="{1712D646-71BD-4FCE-AA55-54B896891E35}" srcOrd="0" destOrd="2" presId="urn:microsoft.com/office/officeart/2005/8/layout/chevron2"/>
    <dgm:cxn modelId="{63CAAA47-BEF6-46D8-9A2E-5B694CF8C0FC}" type="presOf" srcId="{538D77F2-DF68-476A-A781-236F1AD75B46}" destId="{924DADFA-5AF9-4D66-815A-C26F309A6523}" srcOrd="0" destOrd="2" presId="urn:microsoft.com/office/officeart/2005/8/layout/chevron2"/>
    <dgm:cxn modelId="{78094A1F-97AE-4AE1-8C98-518B15A61503}" srcId="{4F4AB82E-5A71-4C63-9691-3F54007BF8F4}" destId="{17F509F0-BE2D-4220-8413-ED2CF7ECAEEF}" srcOrd="0" destOrd="0" parTransId="{7F8A40D7-8271-4AFC-B445-975D0350319F}" sibTransId="{64F336CB-E6EF-4260-8644-5553AA9C7452}"/>
    <dgm:cxn modelId="{40A4E47B-C7E5-4561-ABA3-9B7F0FA4B7C8}" type="presOf" srcId="{F5620D6D-E2C9-4777-828C-545E82243AA1}" destId="{1712D646-71BD-4FCE-AA55-54B896891E35}" srcOrd="0" destOrd="1" presId="urn:microsoft.com/office/officeart/2005/8/layout/chevron2"/>
    <dgm:cxn modelId="{DACC7470-7F38-42B8-8AB2-832B9CE00E61}" type="presOf" srcId="{93EB2BCE-2AD8-4FAC-8366-1F059865F3C1}" destId="{924DADFA-5AF9-4D66-815A-C26F309A6523}" srcOrd="0" destOrd="3" presId="urn:microsoft.com/office/officeart/2005/8/layout/chevron2"/>
    <dgm:cxn modelId="{7E0353F5-F6D5-4114-8E1F-DCBC519A81F7}" srcId="{4F4AB82E-5A71-4C63-9691-3F54007BF8F4}" destId="{C6170652-F967-4DB8-8D62-2C77E819655E}" srcOrd="3" destOrd="0" parTransId="{1A256FB2-D648-4EBA-985E-1F202D53C934}" sibTransId="{C7173A9D-EF84-4563-A62F-61B804D30546}"/>
    <dgm:cxn modelId="{6511FE77-4427-4F77-9238-EEBBFC5348C4}" type="presOf" srcId="{C6170652-F967-4DB8-8D62-2C77E819655E}" destId="{1712D646-71BD-4FCE-AA55-54B896891E35}" srcOrd="0" destOrd="3" presId="urn:microsoft.com/office/officeart/2005/8/layout/chevron2"/>
    <dgm:cxn modelId="{E653AD8B-8520-4FF9-9097-9E03ADDC9BF6}" srcId="{6EE0396A-E948-407F-80B0-2779C2EE3398}" destId="{4F4AB82E-5A71-4C63-9691-3F54007BF8F4}" srcOrd="0" destOrd="0" parTransId="{AC3268A7-B7E9-43F1-9A0C-887488B976D3}" sibTransId="{3F2EBA33-46B2-4FD2-A41D-EAF63D63CA80}"/>
    <dgm:cxn modelId="{D06FA51A-A1F6-4659-9513-D3EDBE6A21C1}" srcId="{ABDF3637-2607-46BA-8DA8-D4E9644436E8}" destId="{12135917-B77E-4BF8-9B45-A1968DAAF63A}" srcOrd="1" destOrd="0" parTransId="{CD473651-4A12-461D-9A4A-67A5651302CE}" sibTransId="{0C2742BB-F151-4937-A572-37E069896C20}"/>
    <dgm:cxn modelId="{C087D663-4B62-47E7-9ED4-16E07AE8E62B}" srcId="{5C079E8F-ED68-4DF2-8F18-50B032091257}" destId="{ECC22850-91BC-4025-89E9-EC83FF039C35}" srcOrd="1" destOrd="0" parTransId="{A2D4CAE3-26AE-4968-90D3-513198D869EC}" sibTransId="{BC716B1F-5F6C-47E3-AA28-C2E47BB43F32}"/>
    <dgm:cxn modelId="{0431EA97-62A0-4F7A-BB13-F6E502902BBE}" srcId="{4F4AB82E-5A71-4C63-9691-3F54007BF8F4}" destId="{B01727D7-A3C6-4568-9321-4A6F64D0E293}" srcOrd="2" destOrd="0" parTransId="{A522B3B1-E0C4-427C-8112-3E7FF638ECE6}" sibTransId="{29416300-1AA2-41A7-89DA-EBE5409BAC16}"/>
    <dgm:cxn modelId="{BDA1FA8D-D137-4ED7-91CD-6D1287793803}" srcId="{5C079E8F-ED68-4DF2-8F18-50B032091257}" destId="{93EB2BCE-2AD8-4FAC-8366-1F059865F3C1}" srcOrd="3" destOrd="0" parTransId="{DAB799EC-7C01-4612-94AF-4B34E7FD5FDB}" sibTransId="{EE64041D-E5E3-467A-8C44-3D599C2053FF}"/>
    <dgm:cxn modelId="{771D2850-98EF-46AE-B3CB-A13C0961A996}" type="presOf" srcId="{5C079E8F-ED68-4DF2-8F18-50B032091257}" destId="{7A095B66-BE79-47AA-86A8-8AC3382B1D34}" srcOrd="0" destOrd="0" presId="urn:microsoft.com/office/officeart/2005/8/layout/chevron2"/>
    <dgm:cxn modelId="{7B67DA16-5397-40AE-8DF7-B32FAD1B0925}" type="presOf" srcId="{ECC22850-91BC-4025-89E9-EC83FF039C35}" destId="{924DADFA-5AF9-4D66-815A-C26F309A6523}" srcOrd="0" destOrd="1" presId="urn:microsoft.com/office/officeart/2005/8/layout/chevron2"/>
    <dgm:cxn modelId="{1DD8E5A2-D76F-4091-8B2C-D91A4EFB9A89}" type="presOf" srcId="{4F4AB82E-5A71-4C63-9691-3F54007BF8F4}" destId="{769F8A59-1906-4E55-911C-CF9338A86448}" srcOrd="0" destOrd="0" presId="urn:microsoft.com/office/officeart/2005/8/layout/chevron2"/>
    <dgm:cxn modelId="{5DB67D33-DE25-4C73-9906-27C325C4419C}" type="presParOf" srcId="{A805FF72-ABBB-4B60-A3CF-BA478544FE2F}" destId="{ED844EBD-9E11-4AFF-BB6A-BB24EDA7891A}" srcOrd="0" destOrd="0" presId="urn:microsoft.com/office/officeart/2005/8/layout/chevron2"/>
    <dgm:cxn modelId="{B2109C0D-56C3-4B4E-AA48-E9F3B2BF9E74}" type="presParOf" srcId="{ED844EBD-9E11-4AFF-BB6A-BB24EDA7891A}" destId="{769F8A59-1906-4E55-911C-CF9338A86448}" srcOrd="0" destOrd="0" presId="urn:microsoft.com/office/officeart/2005/8/layout/chevron2"/>
    <dgm:cxn modelId="{D458CE67-44D7-4BD4-A13D-B403920060F6}" type="presParOf" srcId="{ED844EBD-9E11-4AFF-BB6A-BB24EDA7891A}" destId="{1712D646-71BD-4FCE-AA55-54B896891E35}" srcOrd="1" destOrd="0" presId="urn:microsoft.com/office/officeart/2005/8/layout/chevron2"/>
    <dgm:cxn modelId="{06C35686-D536-4031-848F-FEF5CF7B78F1}" type="presParOf" srcId="{A805FF72-ABBB-4B60-A3CF-BA478544FE2F}" destId="{A7065624-313D-4290-84AA-973CAF515E34}" srcOrd="1" destOrd="0" presId="urn:microsoft.com/office/officeart/2005/8/layout/chevron2"/>
    <dgm:cxn modelId="{338A2926-32AE-44A5-BA96-5703EDB51339}" type="presParOf" srcId="{A805FF72-ABBB-4B60-A3CF-BA478544FE2F}" destId="{1FFFB3FE-FD5C-46BA-89C9-C213FEFDAD97}" srcOrd="2" destOrd="0" presId="urn:microsoft.com/office/officeart/2005/8/layout/chevron2"/>
    <dgm:cxn modelId="{28C08E37-DBC4-40A4-9785-4CD36C4E3701}" type="presParOf" srcId="{1FFFB3FE-FD5C-46BA-89C9-C213FEFDAD97}" destId="{7A095B66-BE79-47AA-86A8-8AC3382B1D34}" srcOrd="0" destOrd="0" presId="urn:microsoft.com/office/officeart/2005/8/layout/chevron2"/>
    <dgm:cxn modelId="{060ECB24-01DD-4D91-85C9-2401FD72E813}" type="presParOf" srcId="{1FFFB3FE-FD5C-46BA-89C9-C213FEFDAD97}" destId="{924DADFA-5AF9-4D66-815A-C26F309A6523}" srcOrd="1" destOrd="0" presId="urn:microsoft.com/office/officeart/2005/8/layout/chevron2"/>
    <dgm:cxn modelId="{245791FF-5DC0-48C0-9026-BC9746AB23DA}" type="presParOf" srcId="{A805FF72-ABBB-4B60-A3CF-BA478544FE2F}" destId="{B79F7238-3758-4870-8E06-94E20ED9A5E5}" srcOrd="3" destOrd="0" presId="urn:microsoft.com/office/officeart/2005/8/layout/chevron2"/>
    <dgm:cxn modelId="{D76E18D6-F005-478E-A1E9-03631DBE8A93}" type="presParOf" srcId="{A805FF72-ABBB-4B60-A3CF-BA478544FE2F}" destId="{06198157-0D3D-4481-BA01-7A17B209B506}" srcOrd="4" destOrd="0" presId="urn:microsoft.com/office/officeart/2005/8/layout/chevron2"/>
    <dgm:cxn modelId="{4EA4E764-D5E3-480E-BD93-B32A3C0D8B26}" type="presParOf" srcId="{06198157-0D3D-4481-BA01-7A17B209B506}" destId="{958FC313-302A-4268-8D85-A554A5F1E2C5}" srcOrd="0" destOrd="0" presId="urn:microsoft.com/office/officeart/2005/8/layout/chevron2"/>
    <dgm:cxn modelId="{5324200C-7BE6-4D4C-8096-9E4211F7D6DD}" type="presParOf" srcId="{06198157-0D3D-4481-BA01-7A17B209B506}" destId="{1DE031CC-32E3-4ACD-8613-D741A18ACC36}" srcOrd="1" destOrd="0" presId="urn:microsoft.com/office/officeart/2005/8/layout/chevron2"/>
  </dgm:cxnLst>
  <dgm:bg/>
  <dgm:whole/>
</dgm:dataModel>
</file>

<file path=word/diagrams/data2.xml><?xml version="1.0" encoding="utf-8"?>
<dgm:dataModel xmlns:dgm="http://schemas.openxmlformats.org/drawingml/2006/diagram" xmlns:a="http://schemas.openxmlformats.org/drawingml/2006/main">
  <dgm:ptLst>
    <dgm:pt modelId="{A181980A-FEA4-4C37-BE5D-0AEB1B265D58}" type="doc">
      <dgm:prSet loTypeId="urn:microsoft.com/office/officeart/2005/8/layout/pyramid1" loCatId="pyramid" qsTypeId="urn:microsoft.com/office/officeart/2005/8/quickstyle/simple1" qsCatId="simple" csTypeId="urn:microsoft.com/office/officeart/2005/8/colors/accent1_2" csCatId="accent1" phldr="1"/>
      <dgm:spPr/>
      <dgm:t>
        <a:bodyPr/>
        <a:lstStyle/>
        <a:p>
          <a:endParaRPr lang="fr-FR"/>
        </a:p>
      </dgm:t>
    </dgm:pt>
    <dgm:pt modelId="{1EDC40CD-2070-4A83-8CD8-1B2C9CF6E201}">
      <dgm:prSet phldrT="[Texte]" custT="1"/>
      <dgm:spPr/>
      <dgm:t>
        <a:bodyPr/>
        <a:lstStyle/>
        <a:p>
          <a:r>
            <a:rPr lang="fr-FR" sz="1600"/>
            <a:t>24h</a:t>
          </a:r>
        </a:p>
      </dgm:t>
    </dgm:pt>
    <dgm:pt modelId="{0AC55C69-F4F4-4203-BE9C-218C2EC34594}" type="parTrans" cxnId="{2C3918CF-D21C-4AF0-A7A6-256000E62A16}">
      <dgm:prSet/>
      <dgm:spPr/>
      <dgm:t>
        <a:bodyPr/>
        <a:lstStyle/>
        <a:p>
          <a:endParaRPr lang="fr-FR"/>
        </a:p>
      </dgm:t>
    </dgm:pt>
    <dgm:pt modelId="{FAF74CEF-9E73-459B-8A64-D7FD24E848B0}" type="sibTrans" cxnId="{2C3918CF-D21C-4AF0-A7A6-256000E62A16}">
      <dgm:prSet/>
      <dgm:spPr/>
      <dgm:t>
        <a:bodyPr/>
        <a:lstStyle/>
        <a:p>
          <a:endParaRPr lang="fr-FR"/>
        </a:p>
      </dgm:t>
    </dgm:pt>
    <dgm:pt modelId="{30DD5216-3EE7-4322-80C9-8A2B429C4F31}">
      <dgm:prSet custT="1"/>
      <dgm:spPr/>
      <dgm:t>
        <a:bodyPr/>
        <a:lstStyle/>
        <a:p>
          <a:r>
            <a:rPr lang="fr-FR" sz="3200"/>
            <a:t>7jours</a:t>
          </a:r>
        </a:p>
      </dgm:t>
    </dgm:pt>
    <dgm:pt modelId="{E88868FD-E0FA-4627-BAD4-98FF0B331811}" type="parTrans" cxnId="{3F667B0F-7E5D-4A4C-82F2-064585B2B650}">
      <dgm:prSet/>
      <dgm:spPr/>
      <dgm:t>
        <a:bodyPr/>
        <a:lstStyle/>
        <a:p>
          <a:endParaRPr lang="fr-FR"/>
        </a:p>
      </dgm:t>
    </dgm:pt>
    <dgm:pt modelId="{D07085C3-E886-4FA6-B5CE-E9BADAD52805}" type="sibTrans" cxnId="{3F667B0F-7E5D-4A4C-82F2-064585B2B650}">
      <dgm:prSet/>
      <dgm:spPr/>
      <dgm:t>
        <a:bodyPr/>
        <a:lstStyle/>
        <a:p>
          <a:endParaRPr lang="fr-FR"/>
        </a:p>
      </dgm:t>
    </dgm:pt>
    <dgm:pt modelId="{23638E08-53D6-4BC2-9824-FB55FA9BD438}">
      <dgm:prSet custT="1"/>
      <dgm:spPr/>
      <dgm:t>
        <a:bodyPr/>
        <a:lstStyle/>
        <a:p>
          <a:r>
            <a:rPr lang="fr-FR" sz="1600"/>
            <a:t>le marché interbancaire</a:t>
          </a:r>
          <a:endParaRPr lang="fr-FR" sz="3200"/>
        </a:p>
      </dgm:t>
    </dgm:pt>
    <dgm:pt modelId="{9A9BFF4A-57EA-4BD8-AFC3-DC36A1E7280A}" type="parTrans" cxnId="{D5B4AC53-91E3-4FD1-9818-5980FC8918B9}">
      <dgm:prSet/>
      <dgm:spPr/>
      <dgm:t>
        <a:bodyPr/>
        <a:lstStyle/>
        <a:p>
          <a:endParaRPr lang="fr-FR"/>
        </a:p>
      </dgm:t>
    </dgm:pt>
    <dgm:pt modelId="{CF7C8D80-3785-4AC2-B21D-B9BED6794F10}" type="sibTrans" cxnId="{D5B4AC53-91E3-4FD1-9818-5980FC8918B9}">
      <dgm:prSet/>
      <dgm:spPr/>
      <dgm:t>
        <a:bodyPr/>
        <a:lstStyle/>
        <a:p>
          <a:endParaRPr lang="fr-FR"/>
        </a:p>
      </dgm:t>
    </dgm:pt>
    <dgm:pt modelId="{C9F39E50-87F5-4A01-9529-5E1B783B047F}">
      <dgm:prSet custT="1"/>
      <dgm:spPr/>
      <dgm:t>
        <a:bodyPr/>
        <a:lstStyle/>
        <a:p>
          <a:r>
            <a:rPr lang="fr-FR" sz="1600">
              <a:solidFill>
                <a:srgbClr val="FF0000"/>
              </a:solidFill>
            </a:rPr>
            <a:t>à l'initiative des banques </a:t>
          </a:r>
          <a:r>
            <a:rPr lang="fr-FR" sz="1600"/>
            <a:t>si les 2 premiers ne suffisent pas pour couvrir le besoin</a:t>
          </a:r>
        </a:p>
      </dgm:t>
    </dgm:pt>
    <dgm:pt modelId="{EF3D5C05-D1E5-4983-995F-7C33485FAF93}" type="parTrans" cxnId="{78A69722-BE17-42A8-B279-4438229C196E}">
      <dgm:prSet/>
      <dgm:spPr/>
      <dgm:t>
        <a:bodyPr/>
        <a:lstStyle/>
        <a:p>
          <a:endParaRPr lang="fr-FR"/>
        </a:p>
      </dgm:t>
    </dgm:pt>
    <dgm:pt modelId="{9C362185-9EB6-4A51-AFD1-9A87F1DEFDD6}" type="sibTrans" cxnId="{78A69722-BE17-42A8-B279-4438229C196E}">
      <dgm:prSet/>
      <dgm:spPr/>
      <dgm:t>
        <a:bodyPr/>
        <a:lstStyle/>
        <a:p>
          <a:endParaRPr lang="fr-FR"/>
        </a:p>
      </dgm:t>
    </dgm:pt>
    <dgm:pt modelId="{D4FE9EAF-012D-4993-BB0D-41FEDB10B63C}">
      <dgm:prSet/>
      <dgm:spPr/>
      <dgm:t>
        <a:bodyPr/>
        <a:lstStyle/>
        <a:p>
          <a:r>
            <a:rPr lang="fr-FR"/>
            <a:t>7 j appel d'offre à </a:t>
          </a:r>
          <a:r>
            <a:rPr lang="fr-FR">
              <a:solidFill>
                <a:srgbClr val="FF0000"/>
              </a:solidFill>
            </a:rPr>
            <a:t>l'initiative de la banque centrale</a:t>
          </a:r>
          <a:r>
            <a:rPr lang="fr-FR"/>
            <a:t> pour vendre la monnaie centrale </a:t>
          </a:r>
        </a:p>
      </dgm:t>
    </dgm:pt>
    <dgm:pt modelId="{CC52A49C-BEFD-4A58-96B1-CCA9157841B0}" type="parTrans" cxnId="{C8182693-C122-4472-AD3B-FD8768E854D5}">
      <dgm:prSet/>
      <dgm:spPr/>
      <dgm:t>
        <a:bodyPr/>
        <a:lstStyle/>
        <a:p>
          <a:endParaRPr lang="fr-FR"/>
        </a:p>
      </dgm:t>
    </dgm:pt>
    <dgm:pt modelId="{BE41DEAD-5261-4A44-96BD-E083587BF00A}" type="sibTrans" cxnId="{C8182693-C122-4472-AD3B-FD8768E854D5}">
      <dgm:prSet/>
      <dgm:spPr/>
      <dgm:t>
        <a:bodyPr/>
        <a:lstStyle/>
        <a:p>
          <a:endParaRPr lang="fr-FR"/>
        </a:p>
      </dgm:t>
    </dgm:pt>
    <dgm:pt modelId="{D36ABB01-C882-4C98-A673-C6967BA28DF7}">
      <dgm:prSet/>
      <dgm:spPr/>
      <dgm:t>
        <a:bodyPr/>
        <a:lstStyle/>
        <a:p>
          <a:r>
            <a:rPr lang="fr-FR"/>
            <a:t>interbancaire</a:t>
          </a:r>
        </a:p>
      </dgm:t>
    </dgm:pt>
    <dgm:pt modelId="{38E5BFBB-5026-4455-8A9E-27BDC0B70FF7}" type="parTrans" cxnId="{A233306F-5F5C-463C-A965-BB6EA91A7F58}">
      <dgm:prSet/>
      <dgm:spPr/>
      <dgm:t>
        <a:bodyPr/>
        <a:lstStyle/>
        <a:p>
          <a:endParaRPr lang="fr-FR"/>
        </a:p>
      </dgm:t>
    </dgm:pt>
    <dgm:pt modelId="{AD8C1ADC-8A65-4BC9-9F90-89F07AEA60CB}" type="sibTrans" cxnId="{A233306F-5F5C-463C-A965-BB6EA91A7F58}">
      <dgm:prSet/>
      <dgm:spPr/>
      <dgm:t>
        <a:bodyPr/>
        <a:lstStyle/>
        <a:p>
          <a:endParaRPr lang="fr-FR"/>
        </a:p>
      </dgm:t>
    </dgm:pt>
    <dgm:pt modelId="{50A1A200-5977-459E-969E-282F21EE5B88}">
      <dgm:prSet/>
      <dgm:spPr/>
      <dgm:t>
        <a:bodyPr/>
        <a:lstStyle/>
        <a:p>
          <a:r>
            <a:rPr lang="fr-FR"/>
            <a:t>5jours</a:t>
          </a:r>
        </a:p>
      </dgm:t>
    </dgm:pt>
    <dgm:pt modelId="{9492D6FE-B6C3-452B-8312-CDEDA03C3AEA}" type="parTrans" cxnId="{C9304FD4-4CAC-4DAC-92D1-F6009D776A36}">
      <dgm:prSet/>
      <dgm:spPr/>
      <dgm:t>
        <a:bodyPr/>
        <a:lstStyle/>
        <a:p>
          <a:endParaRPr lang="fr-FR"/>
        </a:p>
      </dgm:t>
    </dgm:pt>
    <dgm:pt modelId="{F82D709E-D9B4-464F-81DA-0C142B4A2940}" type="sibTrans" cxnId="{C9304FD4-4CAC-4DAC-92D1-F6009D776A36}">
      <dgm:prSet/>
      <dgm:spPr/>
      <dgm:t>
        <a:bodyPr/>
        <a:lstStyle/>
        <a:p>
          <a:endParaRPr lang="fr-FR"/>
        </a:p>
      </dgm:t>
    </dgm:pt>
    <dgm:pt modelId="{1E6DF6CE-57CC-4715-9D3E-B76B599B6531}">
      <dgm:prSet custT="1"/>
      <dgm:spPr/>
      <dgm:t>
        <a:bodyPr/>
        <a:lstStyle/>
        <a:p>
          <a:r>
            <a:rPr lang="fr-FR" sz="1400"/>
            <a:t>si le compte de la banque reste débiteur la banque centrale accorde un crédit de 24 h </a:t>
          </a:r>
        </a:p>
      </dgm:t>
    </dgm:pt>
    <dgm:pt modelId="{6A6A1423-77D2-4499-8D50-F03659CEDDE0}" type="parTrans" cxnId="{74B389B9-C6CA-4904-BA6B-7AD9770E81FF}">
      <dgm:prSet/>
      <dgm:spPr/>
      <dgm:t>
        <a:bodyPr/>
        <a:lstStyle/>
        <a:p>
          <a:endParaRPr lang="fr-FR"/>
        </a:p>
      </dgm:t>
    </dgm:pt>
    <dgm:pt modelId="{97770512-0EAC-4DFD-949B-F4B5014D2E76}" type="sibTrans" cxnId="{74B389B9-C6CA-4904-BA6B-7AD9770E81FF}">
      <dgm:prSet/>
      <dgm:spPr/>
      <dgm:t>
        <a:bodyPr/>
        <a:lstStyle/>
        <a:p>
          <a:endParaRPr lang="fr-FR"/>
        </a:p>
      </dgm:t>
    </dgm:pt>
    <dgm:pt modelId="{E3A25315-27BC-4A57-A3DA-089B2DBE7658}" type="pres">
      <dgm:prSet presAssocID="{A181980A-FEA4-4C37-BE5D-0AEB1B265D58}" presName="Name0" presStyleCnt="0">
        <dgm:presLayoutVars>
          <dgm:dir/>
          <dgm:animLvl val="lvl"/>
          <dgm:resizeHandles val="exact"/>
        </dgm:presLayoutVars>
      </dgm:prSet>
      <dgm:spPr/>
      <dgm:t>
        <a:bodyPr/>
        <a:lstStyle/>
        <a:p>
          <a:endParaRPr lang="fr-FR"/>
        </a:p>
      </dgm:t>
    </dgm:pt>
    <dgm:pt modelId="{A041A236-94B6-44E8-AC37-9F8635645E43}" type="pres">
      <dgm:prSet presAssocID="{1EDC40CD-2070-4A83-8CD8-1B2C9CF6E201}" presName="Name8" presStyleCnt="0"/>
      <dgm:spPr/>
    </dgm:pt>
    <dgm:pt modelId="{2B509ACB-EB7B-42C8-9035-0301EC64CBD2}" type="pres">
      <dgm:prSet presAssocID="{1EDC40CD-2070-4A83-8CD8-1B2C9CF6E201}" presName="acctBkgd" presStyleLbl="alignAcc1" presStyleIdx="0" presStyleCnt="4"/>
      <dgm:spPr/>
      <dgm:t>
        <a:bodyPr/>
        <a:lstStyle/>
        <a:p>
          <a:endParaRPr lang="fr-FR"/>
        </a:p>
      </dgm:t>
    </dgm:pt>
    <dgm:pt modelId="{E82DF374-D46E-4685-AE32-3C1700E58264}" type="pres">
      <dgm:prSet presAssocID="{1EDC40CD-2070-4A83-8CD8-1B2C9CF6E201}" presName="acctTx" presStyleLbl="alignAcc1" presStyleIdx="0" presStyleCnt="4">
        <dgm:presLayoutVars>
          <dgm:bulletEnabled val="1"/>
        </dgm:presLayoutVars>
      </dgm:prSet>
      <dgm:spPr/>
      <dgm:t>
        <a:bodyPr/>
        <a:lstStyle/>
        <a:p>
          <a:endParaRPr lang="fr-FR"/>
        </a:p>
      </dgm:t>
    </dgm:pt>
    <dgm:pt modelId="{8A556695-315B-452A-B405-6C1AFD243342}" type="pres">
      <dgm:prSet presAssocID="{1EDC40CD-2070-4A83-8CD8-1B2C9CF6E201}" presName="level" presStyleLbl="node1" presStyleIdx="0" presStyleCnt="4">
        <dgm:presLayoutVars>
          <dgm:chMax val="1"/>
          <dgm:bulletEnabled val="1"/>
        </dgm:presLayoutVars>
      </dgm:prSet>
      <dgm:spPr/>
      <dgm:t>
        <a:bodyPr/>
        <a:lstStyle/>
        <a:p>
          <a:endParaRPr lang="fr-FR"/>
        </a:p>
      </dgm:t>
    </dgm:pt>
    <dgm:pt modelId="{AEC113CE-8C0C-40A5-A5B2-35D7842D5A08}" type="pres">
      <dgm:prSet presAssocID="{1EDC40CD-2070-4A83-8CD8-1B2C9CF6E201}" presName="levelTx" presStyleLbl="revTx" presStyleIdx="0" presStyleCnt="0">
        <dgm:presLayoutVars>
          <dgm:chMax val="1"/>
          <dgm:bulletEnabled val="1"/>
        </dgm:presLayoutVars>
      </dgm:prSet>
      <dgm:spPr/>
      <dgm:t>
        <a:bodyPr/>
        <a:lstStyle/>
        <a:p>
          <a:endParaRPr lang="fr-FR"/>
        </a:p>
      </dgm:t>
    </dgm:pt>
    <dgm:pt modelId="{FF9D7898-FBFF-434C-AC5A-3211B785A849}" type="pres">
      <dgm:prSet presAssocID="{50A1A200-5977-459E-969E-282F21EE5B88}" presName="Name8" presStyleCnt="0"/>
      <dgm:spPr/>
    </dgm:pt>
    <dgm:pt modelId="{171583F5-F5BA-4A37-9F65-D8BA0CB41BB2}" type="pres">
      <dgm:prSet presAssocID="{50A1A200-5977-459E-969E-282F21EE5B88}" presName="acctBkgd" presStyleLbl="alignAcc1" presStyleIdx="1" presStyleCnt="4"/>
      <dgm:spPr/>
      <dgm:t>
        <a:bodyPr/>
        <a:lstStyle/>
        <a:p>
          <a:endParaRPr lang="fr-FR"/>
        </a:p>
      </dgm:t>
    </dgm:pt>
    <dgm:pt modelId="{ECD1940C-F5E4-4F55-AD6E-40E5FE1375F9}" type="pres">
      <dgm:prSet presAssocID="{50A1A200-5977-459E-969E-282F21EE5B88}" presName="acctTx" presStyleLbl="alignAcc1" presStyleIdx="1" presStyleCnt="4">
        <dgm:presLayoutVars>
          <dgm:bulletEnabled val="1"/>
        </dgm:presLayoutVars>
      </dgm:prSet>
      <dgm:spPr/>
      <dgm:t>
        <a:bodyPr/>
        <a:lstStyle/>
        <a:p>
          <a:endParaRPr lang="fr-FR"/>
        </a:p>
      </dgm:t>
    </dgm:pt>
    <dgm:pt modelId="{040AAAEF-C66A-4E87-91EA-CC9DDA3E7D9E}" type="pres">
      <dgm:prSet presAssocID="{50A1A200-5977-459E-969E-282F21EE5B88}" presName="level" presStyleLbl="node1" presStyleIdx="1" presStyleCnt="4">
        <dgm:presLayoutVars>
          <dgm:chMax val="1"/>
          <dgm:bulletEnabled val="1"/>
        </dgm:presLayoutVars>
      </dgm:prSet>
      <dgm:spPr/>
      <dgm:t>
        <a:bodyPr/>
        <a:lstStyle/>
        <a:p>
          <a:endParaRPr lang="fr-FR"/>
        </a:p>
      </dgm:t>
    </dgm:pt>
    <dgm:pt modelId="{CAC606A7-A168-44F2-9DB8-F8509969017D}" type="pres">
      <dgm:prSet presAssocID="{50A1A200-5977-459E-969E-282F21EE5B88}" presName="levelTx" presStyleLbl="revTx" presStyleIdx="0" presStyleCnt="0">
        <dgm:presLayoutVars>
          <dgm:chMax val="1"/>
          <dgm:bulletEnabled val="1"/>
        </dgm:presLayoutVars>
      </dgm:prSet>
      <dgm:spPr/>
      <dgm:t>
        <a:bodyPr/>
        <a:lstStyle/>
        <a:p>
          <a:endParaRPr lang="fr-FR"/>
        </a:p>
      </dgm:t>
    </dgm:pt>
    <dgm:pt modelId="{7BA53158-1372-43F9-9DE7-97EA56FEAE20}" type="pres">
      <dgm:prSet presAssocID="{D36ABB01-C882-4C98-A673-C6967BA28DF7}" presName="Name8" presStyleCnt="0"/>
      <dgm:spPr/>
    </dgm:pt>
    <dgm:pt modelId="{2C410B2B-2D49-4C0C-B9F7-62D7CA678622}" type="pres">
      <dgm:prSet presAssocID="{D36ABB01-C882-4C98-A673-C6967BA28DF7}" presName="acctBkgd" presStyleLbl="alignAcc1" presStyleIdx="2" presStyleCnt="4"/>
      <dgm:spPr/>
      <dgm:t>
        <a:bodyPr/>
        <a:lstStyle/>
        <a:p>
          <a:endParaRPr lang="fr-FR"/>
        </a:p>
      </dgm:t>
    </dgm:pt>
    <dgm:pt modelId="{22EA2870-A864-43B2-9F7E-AD30858F5BB8}" type="pres">
      <dgm:prSet presAssocID="{D36ABB01-C882-4C98-A673-C6967BA28DF7}" presName="acctTx" presStyleLbl="alignAcc1" presStyleIdx="2" presStyleCnt="4">
        <dgm:presLayoutVars>
          <dgm:bulletEnabled val="1"/>
        </dgm:presLayoutVars>
      </dgm:prSet>
      <dgm:spPr/>
      <dgm:t>
        <a:bodyPr/>
        <a:lstStyle/>
        <a:p>
          <a:endParaRPr lang="fr-FR"/>
        </a:p>
      </dgm:t>
    </dgm:pt>
    <dgm:pt modelId="{4D5945B2-6160-4E49-BFAF-6BA7FB29CF70}" type="pres">
      <dgm:prSet presAssocID="{D36ABB01-C882-4C98-A673-C6967BA28DF7}" presName="level" presStyleLbl="node1" presStyleIdx="2" presStyleCnt="4">
        <dgm:presLayoutVars>
          <dgm:chMax val="1"/>
          <dgm:bulletEnabled val="1"/>
        </dgm:presLayoutVars>
      </dgm:prSet>
      <dgm:spPr/>
      <dgm:t>
        <a:bodyPr/>
        <a:lstStyle/>
        <a:p>
          <a:endParaRPr lang="fr-FR"/>
        </a:p>
      </dgm:t>
    </dgm:pt>
    <dgm:pt modelId="{D06ADA7B-0019-494E-9BA5-16FF058D5857}" type="pres">
      <dgm:prSet presAssocID="{D36ABB01-C882-4C98-A673-C6967BA28DF7}" presName="levelTx" presStyleLbl="revTx" presStyleIdx="0" presStyleCnt="0">
        <dgm:presLayoutVars>
          <dgm:chMax val="1"/>
          <dgm:bulletEnabled val="1"/>
        </dgm:presLayoutVars>
      </dgm:prSet>
      <dgm:spPr/>
      <dgm:t>
        <a:bodyPr/>
        <a:lstStyle/>
        <a:p>
          <a:endParaRPr lang="fr-FR"/>
        </a:p>
      </dgm:t>
    </dgm:pt>
    <dgm:pt modelId="{DF09A2A3-7067-475B-8F08-E7A74222EA40}" type="pres">
      <dgm:prSet presAssocID="{30DD5216-3EE7-4322-80C9-8A2B429C4F31}" presName="Name8" presStyleCnt="0"/>
      <dgm:spPr/>
    </dgm:pt>
    <dgm:pt modelId="{E056D730-6387-4A06-9ED1-AB48D938599F}" type="pres">
      <dgm:prSet presAssocID="{30DD5216-3EE7-4322-80C9-8A2B429C4F31}" presName="acctBkgd" presStyleLbl="alignAcc1" presStyleIdx="3" presStyleCnt="4"/>
      <dgm:spPr/>
      <dgm:t>
        <a:bodyPr/>
        <a:lstStyle/>
        <a:p>
          <a:endParaRPr lang="fr-FR"/>
        </a:p>
      </dgm:t>
    </dgm:pt>
    <dgm:pt modelId="{72F8E934-FB86-4B88-91BB-51FC83F1107F}" type="pres">
      <dgm:prSet presAssocID="{30DD5216-3EE7-4322-80C9-8A2B429C4F31}" presName="acctTx" presStyleLbl="alignAcc1" presStyleIdx="3" presStyleCnt="4">
        <dgm:presLayoutVars>
          <dgm:bulletEnabled val="1"/>
        </dgm:presLayoutVars>
      </dgm:prSet>
      <dgm:spPr/>
      <dgm:t>
        <a:bodyPr/>
        <a:lstStyle/>
        <a:p>
          <a:endParaRPr lang="fr-FR"/>
        </a:p>
      </dgm:t>
    </dgm:pt>
    <dgm:pt modelId="{6D33C37E-068B-455F-8111-D6E5206D6282}" type="pres">
      <dgm:prSet presAssocID="{30DD5216-3EE7-4322-80C9-8A2B429C4F31}" presName="level" presStyleLbl="node1" presStyleIdx="3" presStyleCnt="4">
        <dgm:presLayoutVars>
          <dgm:chMax val="1"/>
          <dgm:bulletEnabled val="1"/>
        </dgm:presLayoutVars>
      </dgm:prSet>
      <dgm:spPr/>
      <dgm:t>
        <a:bodyPr/>
        <a:lstStyle/>
        <a:p>
          <a:endParaRPr lang="fr-FR"/>
        </a:p>
      </dgm:t>
    </dgm:pt>
    <dgm:pt modelId="{A51EC11B-681B-4524-984E-B1173348B409}" type="pres">
      <dgm:prSet presAssocID="{30DD5216-3EE7-4322-80C9-8A2B429C4F31}" presName="levelTx" presStyleLbl="revTx" presStyleIdx="0" presStyleCnt="0">
        <dgm:presLayoutVars>
          <dgm:chMax val="1"/>
          <dgm:bulletEnabled val="1"/>
        </dgm:presLayoutVars>
      </dgm:prSet>
      <dgm:spPr/>
      <dgm:t>
        <a:bodyPr/>
        <a:lstStyle/>
        <a:p>
          <a:endParaRPr lang="fr-FR"/>
        </a:p>
      </dgm:t>
    </dgm:pt>
  </dgm:ptLst>
  <dgm:cxnLst>
    <dgm:cxn modelId="{A233306F-5F5C-463C-A965-BB6EA91A7F58}" srcId="{A181980A-FEA4-4C37-BE5D-0AEB1B265D58}" destId="{D36ABB01-C882-4C98-A673-C6967BA28DF7}" srcOrd="2" destOrd="0" parTransId="{38E5BFBB-5026-4455-8A9E-27BDC0B70FF7}" sibTransId="{AD8C1ADC-8A65-4BC9-9F90-89F07AEA60CB}"/>
    <dgm:cxn modelId="{E270151F-F419-4F66-BAFB-A64B8B8DCC96}" type="presOf" srcId="{30DD5216-3EE7-4322-80C9-8A2B429C4F31}" destId="{6D33C37E-068B-455F-8111-D6E5206D6282}" srcOrd="0" destOrd="0" presId="urn:microsoft.com/office/officeart/2005/8/layout/pyramid1"/>
    <dgm:cxn modelId="{C9304FD4-4CAC-4DAC-92D1-F6009D776A36}" srcId="{A181980A-FEA4-4C37-BE5D-0AEB1B265D58}" destId="{50A1A200-5977-459E-969E-282F21EE5B88}" srcOrd="1" destOrd="0" parTransId="{9492D6FE-B6C3-452B-8312-CDEDA03C3AEA}" sibTransId="{F82D709E-D9B4-464F-81DA-0C142B4A2940}"/>
    <dgm:cxn modelId="{9D67167E-537F-4080-AF07-EBFBA8DAACD8}" type="presOf" srcId="{50A1A200-5977-459E-969E-282F21EE5B88}" destId="{040AAAEF-C66A-4E87-91EA-CC9DDA3E7D9E}" srcOrd="0" destOrd="0" presId="urn:microsoft.com/office/officeart/2005/8/layout/pyramid1"/>
    <dgm:cxn modelId="{4A315543-A06B-4607-8106-41332685FF6E}" type="presOf" srcId="{1EDC40CD-2070-4A83-8CD8-1B2C9CF6E201}" destId="{8A556695-315B-452A-B405-6C1AFD243342}" srcOrd="0" destOrd="0" presId="urn:microsoft.com/office/officeart/2005/8/layout/pyramid1"/>
    <dgm:cxn modelId="{2C3918CF-D21C-4AF0-A7A6-256000E62A16}" srcId="{A181980A-FEA4-4C37-BE5D-0AEB1B265D58}" destId="{1EDC40CD-2070-4A83-8CD8-1B2C9CF6E201}" srcOrd="0" destOrd="0" parTransId="{0AC55C69-F4F4-4203-BE9C-218C2EC34594}" sibTransId="{FAF74CEF-9E73-459B-8A64-D7FD24E848B0}"/>
    <dgm:cxn modelId="{1ADD43A5-23F7-454B-ADC7-769F5DAA87F3}" type="presOf" srcId="{30DD5216-3EE7-4322-80C9-8A2B429C4F31}" destId="{A51EC11B-681B-4524-984E-B1173348B409}" srcOrd="1" destOrd="0" presId="urn:microsoft.com/office/officeart/2005/8/layout/pyramid1"/>
    <dgm:cxn modelId="{C80271A5-61F0-4876-9A7D-426CB510AB91}" type="presOf" srcId="{50A1A200-5977-459E-969E-282F21EE5B88}" destId="{CAC606A7-A168-44F2-9DB8-F8509969017D}" srcOrd="1" destOrd="0" presId="urn:microsoft.com/office/officeart/2005/8/layout/pyramid1"/>
    <dgm:cxn modelId="{2C5DD559-C61C-4C9B-84A9-18A01ADA9041}" type="presOf" srcId="{D4FE9EAF-012D-4993-BB0D-41FEDB10B63C}" destId="{72F8E934-FB86-4B88-91BB-51FC83F1107F}" srcOrd="1" destOrd="0" presId="urn:microsoft.com/office/officeart/2005/8/layout/pyramid1"/>
    <dgm:cxn modelId="{D8688E3B-FE20-4A5D-A423-ABD99CD63F96}" type="presOf" srcId="{1E6DF6CE-57CC-4715-9D3E-B76B599B6531}" destId="{E82DF374-D46E-4685-AE32-3C1700E58264}" srcOrd="1" destOrd="0" presId="urn:microsoft.com/office/officeart/2005/8/layout/pyramid1"/>
    <dgm:cxn modelId="{5388D748-ABEF-4E3F-94C4-DC86AA575DB1}" type="presOf" srcId="{23638E08-53D6-4BC2-9824-FB55FA9BD438}" destId="{22EA2870-A864-43B2-9F7E-AD30858F5BB8}" srcOrd="1" destOrd="0" presId="urn:microsoft.com/office/officeart/2005/8/layout/pyramid1"/>
    <dgm:cxn modelId="{E3FFDA00-A5E9-44F0-9C6F-56C54ECE137B}" type="presOf" srcId="{D36ABB01-C882-4C98-A673-C6967BA28DF7}" destId="{D06ADA7B-0019-494E-9BA5-16FF058D5857}" srcOrd="1" destOrd="0" presId="urn:microsoft.com/office/officeart/2005/8/layout/pyramid1"/>
    <dgm:cxn modelId="{C2534BF5-8E99-4377-9320-D604E2DB7C48}" type="presOf" srcId="{D4FE9EAF-012D-4993-BB0D-41FEDB10B63C}" destId="{E056D730-6387-4A06-9ED1-AB48D938599F}" srcOrd="0" destOrd="0" presId="urn:microsoft.com/office/officeart/2005/8/layout/pyramid1"/>
    <dgm:cxn modelId="{78A69722-BE17-42A8-B279-4438229C196E}" srcId="{50A1A200-5977-459E-969E-282F21EE5B88}" destId="{C9F39E50-87F5-4A01-9529-5E1B783B047F}" srcOrd="0" destOrd="0" parTransId="{EF3D5C05-D1E5-4983-995F-7C33485FAF93}" sibTransId="{9C362185-9EB6-4A51-AFD1-9A87F1DEFDD6}"/>
    <dgm:cxn modelId="{D5B4AC53-91E3-4FD1-9818-5980FC8918B9}" srcId="{D36ABB01-C882-4C98-A673-C6967BA28DF7}" destId="{23638E08-53D6-4BC2-9824-FB55FA9BD438}" srcOrd="0" destOrd="0" parTransId="{9A9BFF4A-57EA-4BD8-AFC3-DC36A1E7280A}" sibTransId="{CF7C8D80-3785-4AC2-B21D-B9BED6794F10}"/>
    <dgm:cxn modelId="{E424E4E0-7E39-4A8A-B7C6-A8CCCBBCDC5B}" type="presOf" srcId="{A181980A-FEA4-4C37-BE5D-0AEB1B265D58}" destId="{E3A25315-27BC-4A57-A3DA-089B2DBE7658}" srcOrd="0" destOrd="0" presId="urn:microsoft.com/office/officeart/2005/8/layout/pyramid1"/>
    <dgm:cxn modelId="{CEBAA672-B61E-4A66-9B7B-F5A4BB07B258}" type="presOf" srcId="{23638E08-53D6-4BC2-9824-FB55FA9BD438}" destId="{2C410B2B-2D49-4C0C-B9F7-62D7CA678622}" srcOrd="0" destOrd="0" presId="urn:microsoft.com/office/officeart/2005/8/layout/pyramid1"/>
    <dgm:cxn modelId="{A356D9F9-B508-4846-A1B1-D80A3DE465A8}" type="presOf" srcId="{D36ABB01-C882-4C98-A673-C6967BA28DF7}" destId="{4D5945B2-6160-4E49-BFAF-6BA7FB29CF70}" srcOrd="0" destOrd="0" presId="urn:microsoft.com/office/officeart/2005/8/layout/pyramid1"/>
    <dgm:cxn modelId="{5EFE3530-216D-477C-A610-536068B16813}" type="presOf" srcId="{1EDC40CD-2070-4A83-8CD8-1B2C9CF6E201}" destId="{AEC113CE-8C0C-40A5-A5B2-35D7842D5A08}" srcOrd="1" destOrd="0" presId="urn:microsoft.com/office/officeart/2005/8/layout/pyramid1"/>
    <dgm:cxn modelId="{74567192-D19D-4F9F-AF02-9965213619D2}" type="presOf" srcId="{C9F39E50-87F5-4A01-9529-5E1B783B047F}" destId="{ECD1940C-F5E4-4F55-AD6E-40E5FE1375F9}" srcOrd="1" destOrd="0" presId="urn:microsoft.com/office/officeart/2005/8/layout/pyramid1"/>
    <dgm:cxn modelId="{C8182693-C122-4472-AD3B-FD8768E854D5}" srcId="{30DD5216-3EE7-4322-80C9-8A2B429C4F31}" destId="{D4FE9EAF-012D-4993-BB0D-41FEDB10B63C}" srcOrd="0" destOrd="0" parTransId="{CC52A49C-BEFD-4A58-96B1-CCA9157841B0}" sibTransId="{BE41DEAD-5261-4A44-96BD-E083587BF00A}"/>
    <dgm:cxn modelId="{3F667B0F-7E5D-4A4C-82F2-064585B2B650}" srcId="{A181980A-FEA4-4C37-BE5D-0AEB1B265D58}" destId="{30DD5216-3EE7-4322-80C9-8A2B429C4F31}" srcOrd="3" destOrd="0" parTransId="{E88868FD-E0FA-4627-BAD4-98FF0B331811}" sibTransId="{D07085C3-E886-4FA6-B5CE-E9BADAD52805}"/>
    <dgm:cxn modelId="{74B389B9-C6CA-4904-BA6B-7AD9770E81FF}" srcId="{1EDC40CD-2070-4A83-8CD8-1B2C9CF6E201}" destId="{1E6DF6CE-57CC-4715-9D3E-B76B599B6531}" srcOrd="0" destOrd="0" parTransId="{6A6A1423-77D2-4499-8D50-F03659CEDDE0}" sibTransId="{97770512-0EAC-4DFD-949B-F4B5014D2E76}"/>
    <dgm:cxn modelId="{7B1C30E7-D196-4D5A-A033-70DBC26F9633}" type="presOf" srcId="{C9F39E50-87F5-4A01-9529-5E1B783B047F}" destId="{171583F5-F5BA-4A37-9F65-D8BA0CB41BB2}" srcOrd="0" destOrd="0" presId="urn:microsoft.com/office/officeart/2005/8/layout/pyramid1"/>
    <dgm:cxn modelId="{AE4ABE27-D87C-4ADC-9E8C-1A9908DD2354}" type="presOf" srcId="{1E6DF6CE-57CC-4715-9D3E-B76B599B6531}" destId="{2B509ACB-EB7B-42C8-9035-0301EC64CBD2}" srcOrd="0" destOrd="0" presId="urn:microsoft.com/office/officeart/2005/8/layout/pyramid1"/>
    <dgm:cxn modelId="{27E11349-D9F5-45E0-9558-93FE0DBD63F5}" type="presParOf" srcId="{E3A25315-27BC-4A57-A3DA-089B2DBE7658}" destId="{A041A236-94B6-44E8-AC37-9F8635645E43}" srcOrd="0" destOrd="0" presId="urn:microsoft.com/office/officeart/2005/8/layout/pyramid1"/>
    <dgm:cxn modelId="{4D82182E-1961-46E4-B272-A46A258960FD}" type="presParOf" srcId="{A041A236-94B6-44E8-AC37-9F8635645E43}" destId="{2B509ACB-EB7B-42C8-9035-0301EC64CBD2}" srcOrd="0" destOrd="0" presId="urn:microsoft.com/office/officeart/2005/8/layout/pyramid1"/>
    <dgm:cxn modelId="{56E83A7D-1542-4451-9834-6391A8E08CC9}" type="presParOf" srcId="{A041A236-94B6-44E8-AC37-9F8635645E43}" destId="{E82DF374-D46E-4685-AE32-3C1700E58264}" srcOrd="1" destOrd="0" presId="urn:microsoft.com/office/officeart/2005/8/layout/pyramid1"/>
    <dgm:cxn modelId="{A0D938BB-84F5-49C6-A71F-95F4B02E07FC}" type="presParOf" srcId="{A041A236-94B6-44E8-AC37-9F8635645E43}" destId="{8A556695-315B-452A-B405-6C1AFD243342}" srcOrd="2" destOrd="0" presId="urn:microsoft.com/office/officeart/2005/8/layout/pyramid1"/>
    <dgm:cxn modelId="{BD081A35-4AEB-47C5-BE82-0FA8DB3A912C}" type="presParOf" srcId="{A041A236-94B6-44E8-AC37-9F8635645E43}" destId="{AEC113CE-8C0C-40A5-A5B2-35D7842D5A08}" srcOrd="3" destOrd="0" presId="urn:microsoft.com/office/officeart/2005/8/layout/pyramid1"/>
    <dgm:cxn modelId="{6354BD75-1E5A-4797-8C3C-9042FA1A5B64}" type="presParOf" srcId="{E3A25315-27BC-4A57-A3DA-089B2DBE7658}" destId="{FF9D7898-FBFF-434C-AC5A-3211B785A849}" srcOrd="1" destOrd="0" presId="urn:microsoft.com/office/officeart/2005/8/layout/pyramid1"/>
    <dgm:cxn modelId="{74B5E1D5-191B-4534-992C-9FE89C8F27B9}" type="presParOf" srcId="{FF9D7898-FBFF-434C-AC5A-3211B785A849}" destId="{171583F5-F5BA-4A37-9F65-D8BA0CB41BB2}" srcOrd="0" destOrd="0" presId="urn:microsoft.com/office/officeart/2005/8/layout/pyramid1"/>
    <dgm:cxn modelId="{BC317A35-6CE4-4EAB-96E2-809F57B30BD0}" type="presParOf" srcId="{FF9D7898-FBFF-434C-AC5A-3211B785A849}" destId="{ECD1940C-F5E4-4F55-AD6E-40E5FE1375F9}" srcOrd="1" destOrd="0" presId="urn:microsoft.com/office/officeart/2005/8/layout/pyramid1"/>
    <dgm:cxn modelId="{37E238BD-5B09-47D7-B773-12198C5CBCF0}" type="presParOf" srcId="{FF9D7898-FBFF-434C-AC5A-3211B785A849}" destId="{040AAAEF-C66A-4E87-91EA-CC9DDA3E7D9E}" srcOrd="2" destOrd="0" presId="urn:microsoft.com/office/officeart/2005/8/layout/pyramid1"/>
    <dgm:cxn modelId="{48DF132E-84E3-4B26-B119-15B7A2E280BF}" type="presParOf" srcId="{FF9D7898-FBFF-434C-AC5A-3211B785A849}" destId="{CAC606A7-A168-44F2-9DB8-F8509969017D}" srcOrd="3" destOrd="0" presId="urn:microsoft.com/office/officeart/2005/8/layout/pyramid1"/>
    <dgm:cxn modelId="{E9E8C2A4-8EF2-43F2-93C3-051B0D575111}" type="presParOf" srcId="{E3A25315-27BC-4A57-A3DA-089B2DBE7658}" destId="{7BA53158-1372-43F9-9DE7-97EA56FEAE20}" srcOrd="2" destOrd="0" presId="urn:microsoft.com/office/officeart/2005/8/layout/pyramid1"/>
    <dgm:cxn modelId="{97F8BAA8-510D-4D8C-B263-69DE7657D06C}" type="presParOf" srcId="{7BA53158-1372-43F9-9DE7-97EA56FEAE20}" destId="{2C410B2B-2D49-4C0C-B9F7-62D7CA678622}" srcOrd="0" destOrd="0" presId="urn:microsoft.com/office/officeart/2005/8/layout/pyramid1"/>
    <dgm:cxn modelId="{34B6597C-B0EF-4F44-AC2B-B3F0DE4A8001}" type="presParOf" srcId="{7BA53158-1372-43F9-9DE7-97EA56FEAE20}" destId="{22EA2870-A864-43B2-9F7E-AD30858F5BB8}" srcOrd="1" destOrd="0" presId="urn:microsoft.com/office/officeart/2005/8/layout/pyramid1"/>
    <dgm:cxn modelId="{7657BB91-D426-442E-8600-697A23DB4C5C}" type="presParOf" srcId="{7BA53158-1372-43F9-9DE7-97EA56FEAE20}" destId="{4D5945B2-6160-4E49-BFAF-6BA7FB29CF70}" srcOrd="2" destOrd="0" presId="urn:microsoft.com/office/officeart/2005/8/layout/pyramid1"/>
    <dgm:cxn modelId="{47645C0E-A466-4E1C-B3A0-28C6D2D5EDF5}" type="presParOf" srcId="{7BA53158-1372-43F9-9DE7-97EA56FEAE20}" destId="{D06ADA7B-0019-494E-9BA5-16FF058D5857}" srcOrd="3" destOrd="0" presId="urn:microsoft.com/office/officeart/2005/8/layout/pyramid1"/>
    <dgm:cxn modelId="{42787864-12EF-4B9A-B931-2BD58DB207D6}" type="presParOf" srcId="{E3A25315-27BC-4A57-A3DA-089B2DBE7658}" destId="{DF09A2A3-7067-475B-8F08-E7A74222EA40}" srcOrd="3" destOrd="0" presId="urn:microsoft.com/office/officeart/2005/8/layout/pyramid1"/>
    <dgm:cxn modelId="{4651B7BE-C136-4E14-BB2D-E65C8D927A56}" type="presParOf" srcId="{DF09A2A3-7067-475B-8F08-E7A74222EA40}" destId="{E056D730-6387-4A06-9ED1-AB48D938599F}" srcOrd="0" destOrd="0" presId="urn:microsoft.com/office/officeart/2005/8/layout/pyramid1"/>
    <dgm:cxn modelId="{8588BA9E-5EAF-46D2-9E84-A8B4AAB97156}" type="presParOf" srcId="{DF09A2A3-7067-475B-8F08-E7A74222EA40}" destId="{72F8E934-FB86-4B88-91BB-51FC83F1107F}" srcOrd="1" destOrd="0" presId="urn:microsoft.com/office/officeart/2005/8/layout/pyramid1"/>
    <dgm:cxn modelId="{C0C536FC-9A61-4C3F-811A-F4AB5093A7A2}" type="presParOf" srcId="{DF09A2A3-7067-475B-8F08-E7A74222EA40}" destId="{6D33C37E-068B-455F-8111-D6E5206D6282}" srcOrd="2" destOrd="0" presId="urn:microsoft.com/office/officeart/2005/8/layout/pyramid1"/>
    <dgm:cxn modelId="{7E4676B6-B31A-4919-B96F-AF5D5A0D2AAD}" type="presParOf" srcId="{DF09A2A3-7067-475B-8F08-E7A74222EA40}" destId="{A51EC11B-681B-4524-984E-B1173348B409}" srcOrd="3" destOrd="0" presId="urn:microsoft.com/office/officeart/2005/8/layout/pyramid1"/>
  </dgm:cxnLst>
  <dgm:bg/>
  <dgm:whole/>
</dgm:dataModel>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72075-C363-4BAC-B3D2-2B91F692A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22</Pages>
  <Words>6356</Words>
  <Characters>34962</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rachislam</dc:creator>
  <cp:lastModifiedBy>rachislam</cp:lastModifiedBy>
  <cp:revision>28</cp:revision>
  <cp:lastPrinted>2009-02-05T22:01:00Z</cp:lastPrinted>
  <dcterms:created xsi:type="dcterms:W3CDTF">2009-01-28T22:23:00Z</dcterms:created>
  <dcterms:modified xsi:type="dcterms:W3CDTF">2009-03-08T01:28:00Z</dcterms:modified>
</cp:coreProperties>
</file>